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01C4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 w:hAnsi="仿宋" w:eastAsia="仿宋" w:cs="仿宋"/>
          <w:b/>
          <w:bCs w:val="0"/>
          <w:sz w:val="32"/>
          <w:szCs w:val="32"/>
        </w:rPr>
      </w:pPr>
      <w:r>
        <w:rPr>
          <w:rFonts w:hint="eastAsia" w:ascii="仿宋_GB2312" w:hAnsi="仿宋_GB2312" w:eastAsia="仿宋_GB2312" w:cs="仿宋_GB2312"/>
          <w:b/>
          <w:bCs w:val="0"/>
          <w:color w:val="000000"/>
          <w:sz w:val="32"/>
          <w:szCs w:val="32"/>
          <w:lang w:val="en-US" w:eastAsia="zh-CN"/>
        </w:rPr>
        <w:t>附件2</w:t>
      </w:r>
      <w:r>
        <w:rPr>
          <w:rFonts w:hint="eastAsia" w:ascii="仿宋_GB2312" w:hAnsi="仿宋_GB2312" w:cs="仿宋_GB2312"/>
          <w:b/>
          <w:bCs w:val="0"/>
          <w:color w:val="000000"/>
          <w:sz w:val="32"/>
          <w:szCs w:val="32"/>
          <w:lang w:val="en-US" w:eastAsia="zh-CN"/>
        </w:rPr>
        <w:t>：</w:t>
      </w:r>
    </w:p>
    <w:p w14:paraId="7901E712">
      <w:pPr>
        <w:pStyle w:val="2"/>
        <w:adjustRightInd w:val="0"/>
        <w:snapToGrid w:val="0"/>
        <w:ind w:left="0" w:leftChars="0" w:firstLine="0" w:firstLineChars="0"/>
        <w:jc w:val="center"/>
        <w:rPr>
          <w:rFonts w:hint="eastAsia" w:ascii="方正小标宋简体" w:hAnsi="方正小标宋简体" w:eastAsia="方正小标宋简体" w:cs="方正小标宋简体"/>
          <w:bCs/>
          <w:color w:val="000000"/>
          <w:kern w:val="2"/>
          <w:sz w:val="44"/>
          <w:szCs w:val="44"/>
          <w:lang w:val="en-US" w:eastAsia="zh-CN" w:bidi="ar-SA"/>
        </w:rPr>
      </w:pPr>
      <w:r>
        <w:rPr>
          <w:rFonts w:hint="eastAsia" w:ascii="方正小标宋简体" w:hAnsi="方正小标宋简体" w:eastAsia="方正小标宋简体" w:cs="方正小标宋简体"/>
          <w:bCs/>
          <w:color w:val="000000"/>
          <w:kern w:val="2"/>
          <w:sz w:val="44"/>
          <w:szCs w:val="44"/>
          <w:lang w:val="en-US" w:eastAsia="zh-CN" w:bidi="ar-SA"/>
        </w:rPr>
        <w:t>昌江区重污染天气应急指挥部</w:t>
      </w:r>
    </w:p>
    <w:p w14:paraId="3DBC4920">
      <w:pPr>
        <w:pStyle w:val="2"/>
        <w:adjustRightInd w:val="0"/>
        <w:snapToGrid w:val="0"/>
        <w:ind w:left="0" w:leftChars="0" w:firstLine="0" w:firstLineChars="0"/>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bCs/>
          <w:color w:val="000000"/>
          <w:kern w:val="2"/>
          <w:sz w:val="44"/>
          <w:szCs w:val="44"/>
          <w:lang w:val="en-US" w:eastAsia="zh-CN" w:bidi="ar-SA"/>
        </w:rPr>
        <w:t>各成员单位职责</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543"/>
        <w:gridCol w:w="5019"/>
      </w:tblGrid>
      <w:tr w14:paraId="6EAD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Align w:val="center"/>
          </w:tcPr>
          <w:p w14:paraId="4EB3D059">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序号</w:t>
            </w:r>
          </w:p>
        </w:tc>
        <w:tc>
          <w:tcPr>
            <w:tcW w:w="2552" w:type="dxa"/>
            <w:vAlign w:val="center"/>
          </w:tcPr>
          <w:p w14:paraId="634CC809">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单   位</w:t>
            </w:r>
          </w:p>
        </w:tc>
        <w:tc>
          <w:tcPr>
            <w:tcW w:w="5040" w:type="dxa"/>
            <w:vAlign w:val="center"/>
          </w:tcPr>
          <w:p w14:paraId="13A2FC14">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职        责</w:t>
            </w:r>
          </w:p>
        </w:tc>
      </w:tr>
      <w:tr w14:paraId="0B1A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0B6041C1">
            <w:pPr>
              <w:widowControl/>
              <w:ind w:firstLine="0" w:firstLineChars="0"/>
              <w:jc w:val="center"/>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2552" w:type="dxa"/>
            <w:vAlign w:val="center"/>
          </w:tcPr>
          <w:p w14:paraId="06C73C71">
            <w:pPr>
              <w:widowControl/>
              <w:ind w:firstLine="0" w:firstLineChars="0"/>
              <w:jc w:val="center"/>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各乡镇（街道、园区）</w:t>
            </w:r>
          </w:p>
        </w:tc>
        <w:tc>
          <w:tcPr>
            <w:tcW w:w="5040" w:type="dxa"/>
            <w:vAlign w:val="center"/>
          </w:tcPr>
          <w:p w14:paraId="24667ECA">
            <w:pPr>
              <w:widowControl/>
              <w:ind w:firstLine="0" w:firstLineChars="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各</w:t>
            </w:r>
            <w:r>
              <w:rPr>
                <w:rFonts w:hint="eastAsia" w:ascii="仿宋_GB2312" w:hAnsi="仿宋_GB2312" w:eastAsia="仿宋_GB2312" w:cs="仿宋_GB2312"/>
                <w:kern w:val="0"/>
                <w:sz w:val="32"/>
                <w:szCs w:val="32"/>
                <w:lang w:val="en-US" w:eastAsia="zh-CN"/>
              </w:rPr>
              <w:t>乡镇（街道、园区）</w:t>
            </w:r>
            <w:r>
              <w:rPr>
                <w:rFonts w:hint="eastAsia" w:ascii="仿宋_GB2312" w:hAnsi="仿宋_GB2312" w:eastAsia="仿宋_GB2312" w:cs="仿宋_GB2312"/>
                <w:kern w:val="0"/>
                <w:sz w:val="32"/>
                <w:szCs w:val="32"/>
              </w:rPr>
              <w:t>负责制定本地区重污染天气应急预案，建立健全相应的应急响应机制，及时启动本级应急响应；各</w:t>
            </w:r>
            <w:r>
              <w:rPr>
                <w:rFonts w:hint="eastAsia" w:ascii="仿宋_GB2312" w:hAnsi="仿宋_GB2312" w:eastAsia="仿宋_GB2312" w:cs="仿宋_GB2312"/>
                <w:kern w:val="0"/>
                <w:sz w:val="32"/>
                <w:szCs w:val="32"/>
                <w:lang w:val="en-US" w:eastAsia="zh-CN"/>
              </w:rPr>
              <w:t>乡镇（街道、园区）</w:t>
            </w:r>
            <w:r>
              <w:rPr>
                <w:rFonts w:hint="eastAsia" w:ascii="仿宋_GB2312" w:hAnsi="仿宋_GB2312" w:eastAsia="仿宋_GB2312" w:cs="仿宋_GB2312"/>
                <w:kern w:val="0"/>
                <w:sz w:val="32"/>
                <w:szCs w:val="32"/>
              </w:rPr>
              <w:t>按属地管理原则负责行政区域内所有重污染天气应急处置和救援职责范围内的组织工作。完成</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应急指挥部交办的其他事项。</w:t>
            </w:r>
          </w:p>
        </w:tc>
      </w:tr>
      <w:tr w14:paraId="0ECC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1D43C225">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2</w:t>
            </w:r>
          </w:p>
        </w:tc>
        <w:tc>
          <w:tcPr>
            <w:tcW w:w="2552" w:type="dxa"/>
            <w:vAlign w:val="center"/>
          </w:tcPr>
          <w:p w14:paraId="4B7BD83D">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委宣传部</w:t>
            </w:r>
          </w:p>
        </w:tc>
        <w:tc>
          <w:tcPr>
            <w:tcW w:w="5040" w:type="dxa"/>
            <w:vAlign w:val="center"/>
          </w:tcPr>
          <w:p w14:paraId="69236AFC">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负责指导实际工作部门做好全</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重污染天气应对的信息发布、新闻宣传和舆论引导工作。完成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5F1F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485B64F2">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3</w:t>
            </w:r>
          </w:p>
        </w:tc>
        <w:tc>
          <w:tcPr>
            <w:tcW w:w="2552" w:type="dxa"/>
            <w:vAlign w:val="center"/>
          </w:tcPr>
          <w:p w14:paraId="753C7BCA">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val="en-US" w:eastAsia="zh-CN"/>
              </w:rPr>
              <w:t>昌江</w:t>
            </w:r>
            <w:r>
              <w:rPr>
                <w:rFonts w:hint="eastAsia" w:ascii="仿宋_GB2312" w:hAnsi="仿宋_GB2312" w:eastAsia="仿宋_GB2312" w:cs="仿宋_GB2312"/>
                <w:color w:val="000000"/>
                <w:kern w:val="0"/>
                <w:sz w:val="32"/>
                <w:szCs w:val="32"/>
              </w:rPr>
              <w:t>生态环境局</w:t>
            </w:r>
          </w:p>
        </w:tc>
        <w:tc>
          <w:tcPr>
            <w:tcW w:w="5040" w:type="dxa"/>
            <w:vAlign w:val="center"/>
          </w:tcPr>
          <w:p w14:paraId="2C65F975">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承担</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应急指挥办职能；牵头编制修订</w:t>
            </w:r>
            <w:r>
              <w:rPr>
                <w:rFonts w:hint="eastAsia" w:ascii="仿宋_GB2312" w:hAnsi="仿宋_GB2312" w:eastAsia="仿宋_GB2312" w:cs="仿宋_GB2312"/>
                <w:color w:val="000000"/>
                <w:kern w:val="0"/>
                <w:sz w:val="32"/>
                <w:szCs w:val="32"/>
                <w:lang w:val="en-US" w:eastAsia="zh-CN"/>
              </w:rPr>
              <w:t>昌江</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重污染天气应急预案；组织有关部门开展重污染天气预警预报分析会商，及时发布监测预警预报信息；联合其他成员单位开展重污染天气应对工作。完成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7819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32B494F0">
            <w:pPr>
              <w:widowControl/>
              <w:ind w:firstLine="0" w:firstLineChars="0"/>
              <w:jc w:val="center"/>
              <w:textAlignment w:val="center"/>
              <w:rPr>
                <w:rFonts w:hint="eastAsia" w:ascii="仿宋_GB2312" w:hAnsi="仿宋_GB2312" w:eastAsia="仿宋_GB2312" w:cs="仿宋_GB2312"/>
                <w:sz w:val="32"/>
                <w:szCs w:val="32"/>
                <w:lang w:eastAsia="zh-CN" w:bidi="zh-CN"/>
              </w:rPr>
            </w:pPr>
            <w:r>
              <w:rPr>
                <w:rFonts w:hint="eastAsia" w:ascii="仿宋_GB2312" w:hAnsi="仿宋_GB2312" w:eastAsia="仿宋_GB2312" w:cs="仿宋_GB2312"/>
                <w:color w:val="000000"/>
                <w:kern w:val="0"/>
                <w:sz w:val="32"/>
                <w:szCs w:val="32"/>
                <w:lang w:val="en-US" w:eastAsia="zh-CN"/>
              </w:rPr>
              <w:t>4</w:t>
            </w:r>
          </w:p>
        </w:tc>
        <w:tc>
          <w:tcPr>
            <w:tcW w:w="2552" w:type="dxa"/>
            <w:vAlign w:val="center"/>
          </w:tcPr>
          <w:p w14:paraId="54C27B36">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发改委</w:t>
            </w:r>
          </w:p>
        </w:tc>
        <w:tc>
          <w:tcPr>
            <w:tcW w:w="5040" w:type="dxa"/>
            <w:vAlign w:val="center"/>
          </w:tcPr>
          <w:p w14:paraId="43FDBBC5">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负责制定重污染天气电力调度、保障实施预案，并对预案执行情况进行监督检查。完成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5618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7AF93EF2">
            <w:pPr>
              <w:widowControl/>
              <w:ind w:firstLine="0" w:firstLineChars="0"/>
              <w:jc w:val="center"/>
              <w:textAlignment w:val="center"/>
              <w:rPr>
                <w:rFonts w:hint="eastAsia" w:ascii="仿宋_GB2312" w:hAnsi="仿宋_GB2312" w:eastAsia="仿宋_GB2312" w:cs="仿宋_GB2312"/>
                <w:sz w:val="32"/>
                <w:szCs w:val="32"/>
                <w:lang w:eastAsia="zh-CN" w:bidi="zh-CN"/>
              </w:rPr>
            </w:pPr>
            <w:r>
              <w:rPr>
                <w:rFonts w:hint="eastAsia" w:ascii="仿宋_GB2312" w:hAnsi="仿宋_GB2312" w:eastAsia="仿宋_GB2312" w:cs="仿宋_GB2312"/>
                <w:color w:val="000000"/>
                <w:kern w:val="0"/>
                <w:sz w:val="32"/>
                <w:szCs w:val="32"/>
                <w:lang w:val="en-US" w:eastAsia="zh-CN"/>
              </w:rPr>
              <w:t>5</w:t>
            </w:r>
          </w:p>
        </w:tc>
        <w:tc>
          <w:tcPr>
            <w:tcW w:w="2552" w:type="dxa"/>
            <w:vAlign w:val="center"/>
          </w:tcPr>
          <w:p w14:paraId="46F0C2EC">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val="en-US" w:eastAsia="zh-CN"/>
              </w:rPr>
              <w:t>昌江公安</w:t>
            </w:r>
            <w:r>
              <w:rPr>
                <w:rFonts w:hint="eastAsia" w:ascii="仿宋_GB2312" w:hAnsi="仿宋_GB2312" w:cs="仿宋_GB2312"/>
                <w:color w:val="000000"/>
                <w:kern w:val="0"/>
                <w:sz w:val="32"/>
                <w:szCs w:val="32"/>
                <w:lang w:val="en-US" w:eastAsia="zh-CN"/>
              </w:rPr>
              <w:t>分</w:t>
            </w:r>
            <w:r>
              <w:rPr>
                <w:rFonts w:hint="eastAsia" w:ascii="仿宋_GB2312" w:hAnsi="仿宋_GB2312" w:eastAsia="仿宋_GB2312" w:cs="仿宋_GB2312"/>
                <w:color w:val="000000"/>
                <w:kern w:val="0"/>
                <w:sz w:val="32"/>
                <w:szCs w:val="32"/>
                <w:lang w:val="en-US" w:eastAsia="zh-CN"/>
              </w:rPr>
              <w:t>局</w:t>
            </w:r>
          </w:p>
        </w:tc>
        <w:tc>
          <w:tcPr>
            <w:tcW w:w="5040" w:type="dxa"/>
            <w:vAlign w:val="center"/>
          </w:tcPr>
          <w:p w14:paraId="1D72BF10">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按上级部门要求制定并落实重污染天气机动车限行实施方案；督促大型群众性活动的举办者进行安全风险预测或者评估，指导承办者完善安全工作方案；牵头做好禁燃区烟花爆竹管控。完成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47C3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63" w:type="dxa"/>
            <w:vAlign w:val="center"/>
          </w:tcPr>
          <w:p w14:paraId="072AF49D">
            <w:pPr>
              <w:widowControl/>
              <w:ind w:firstLine="0" w:firstLineChars="0"/>
              <w:jc w:val="center"/>
              <w:textAlignment w:val="center"/>
              <w:rPr>
                <w:rFonts w:hint="eastAsia" w:ascii="仿宋_GB2312" w:hAnsi="仿宋_GB2312" w:eastAsia="仿宋_GB2312" w:cs="仿宋_GB2312"/>
                <w:sz w:val="32"/>
                <w:szCs w:val="32"/>
                <w:lang w:eastAsia="zh-CN" w:bidi="zh-CN"/>
              </w:rPr>
            </w:pPr>
            <w:r>
              <w:rPr>
                <w:rFonts w:hint="eastAsia" w:ascii="仿宋_GB2312" w:hAnsi="仿宋_GB2312" w:eastAsia="仿宋_GB2312" w:cs="仿宋_GB2312"/>
                <w:color w:val="000000"/>
                <w:kern w:val="0"/>
                <w:sz w:val="32"/>
                <w:szCs w:val="32"/>
                <w:lang w:val="en-US" w:eastAsia="zh-CN"/>
              </w:rPr>
              <w:t>6</w:t>
            </w:r>
          </w:p>
        </w:tc>
        <w:tc>
          <w:tcPr>
            <w:tcW w:w="2552" w:type="dxa"/>
            <w:vAlign w:val="center"/>
          </w:tcPr>
          <w:p w14:paraId="15F6EFF9">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工信局</w:t>
            </w:r>
          </w:p>
        </w:tc>
        <w:tc>
          <w:tcPr>
            <w:tcW w:w="5040" w:type="dxa"/>
            <w:vAlign w:val="center"/>
          </w:tcPr>
          <w:p w14:paraId="3D60DB21">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负责督促、指导相关企业落实应急减排措施。完成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69AB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 w:type="dxa"/>
            <w:vAlign w:val="center"/>
          </w:tcPr>
          <w:p w14:paraId="2C43EB68">
            <w:pPr>
              <w:widowControl/>
              <w:ind w:firstLine="0" w:firstLineChars="0"/>
              <w:jc w:val="center"/>
              <w:textAlignment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7</w:t>
            </w:r>
          </w:p>
        </w:tc>
        <w:tc>
          <w:tcPr>
            <w:tcW w:w="2552" w:type="dxa"/>
            <w:vAlign w:val="center"/>
          </w:tcPr>
          <w:p w14:paraId="44AAB1A0">
            <w:pPr>
              <w:widowControl/>
              <w:ind w:firstLine="0" w:firstLineChars="0"/>
              <w:jc w:val="center"/>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财政局</w:t>
            </w:r>
          </w:p>
        </w:tc>
        <w:tc>
          <w:tcPr>
            <w:tcW w:w="5040" w:type="dxa"/>
            <w:vAlign w:val="center"/>
          </w:tcPr>
          <w:p w14:paraId="636D0D7B">
            <w:pPr>
              <w:widowControl/>
              <w:ind w:firstLine="0" w:firstLineChars="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负责保障</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本级开展重污染天气应对工作所需经费。完成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249E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639F3E3C">
            <w:pPr>
              <w:widowControl/>
              <w:ind w:firstLine="0" w:firstLineChars="0"/>
              <w:jc w:val="center"/>
              <w:textAlignment w:val="center"/>
              <w:rPr>
                <w:rFonts w:hint="eastAsia" w:ascii="仿宋_GB2312" w:hAnsi="仿宋_GB2312" w:eastAsia="仿宋_GB2312" w:cs="仿宋_GB2312"/>
                <w:sz w:val="32"/>
                <w:szCs w:val="32"/>
                <w:lang w:eastAsia="zh-CN" w:bidi="zh-CN"/>
              </w:rPr>
            </w:pPr>
            <w:r>
              <w:rPr>
                <w:rFonts w:hint="eastAsia" w:ascii="仿宋_GB2312" w:hAnsi="仿宋_GB2312" w:eastAsia="仿宋_GB2312" w:cs="仿宋_GB2312"/>
                <w:color w:val="000000"/>
                <w:kern w:val="0"/>
                <w:sz w:val="32"/>
                <w:szCs w:val="32"/>
                <w:lang w:val="en-US" w:eastAsia="zh-CN"/>
              </w:rPr>
              <w:t>8</w:t>
            </w:r>
          </w:p>
        </w:tc>
        <w:tc>
          <w:tcPr>
            <w:tcW w:w="2552" w:type="dxa"/>
            <w:vAlign w:val="center"/>
          </w:tcPr>
          <w:p w14:paraId="6F2363B4">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住建局</w:t>
            </w:r>
          </w:p>
        </w:tc>
        <w:tc>
          <w:tcPr>
            <w:tcW w:w="5040" w:type="dxa"/>
            <w:vAlign w:val="center"/>
          </w:tcPr>
          <w:p w14:paraId="3BB4DD69">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val="en-US" w:eastAsia="zh-CN"/>
              </w:rPr>
              <w:t>负责限额以下无需办理施工许可证的施工工地的施工方制定并落实重污染天气建筑施工场内扬尘控制实施预案。</w:t>
            </w:r>
            <w:r>
              <w:rPr>
                <w:rFonts w:hint="eastAsia" w:ascii="仿宋_GB2312" w:hAnsi="仿宋_GB2312" w:eastAsia="仿宋_GB2312" w:cs="仿宋_GB2312"/>
                <w:color w:val="000000"/>
                <w:kern w:val="0"/>
                <w:sz w:val="32"/>
                <w:szCs w:val="32"/>
              </w:rPr>
              <w:t>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443F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7F86A813">
            <w:pPr>
              <w:widowControl/>
              <w:ind w:firstLine="0" w:firstLineChars="0"/>
              <w:jc w:val="center"/>
              <w:textAlignment w:val="center"/>
              <w:rPr>
                <w:rFonts w:hint="eastAsia" w:ascii="仿宋_GB2312" w:hAnsi="仿宋_GB2312" w:eastAsia="仿宋_GB2312" w:cs="仿宋_GB2312"/>
                <w:sz w:val="32"/>
                <w:szCs w:val="32"/>
                <w:lang w:eastAsia="zh-CN" w:bidi="zh-CN"/>
              </w:rPr>
            </w:pPr>
            <w:r>
              <w:rPr>
                <w:rFonts w:hint="eastAsia" w:ascii="仿宋_GB2312" w:hAnsi="仿宋_GB2312" w:eastAsia="仿宋_GB2312" w:cs="仿宋_GB2312"/>
                <w:color w:val="000000"/>
                <w:kern w:val="0"/>
                <w:sz w:val="32"/>
                <w:szCs w:val="32"/>
                <w:lang w:val="en-US" w:eastAsia="zh-CN"/>
              </w:rPr>
              <w:t>9</w:t>
            </w:r>
          </w:p>
        </w:tc>
        <w:tc>
          <w:tcPr>
            <w:tcW w:w="2552" w:type="dxa"/>
            <w:vAlign w:val="center"/>
          </w:tcPr>
          <w:p w14:paraId="6BEAE48D">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交通局</w:t>
            </w:r>
          </w:p>
        </w:tc>
        <w:tc>
          <w:tcPr>
            <w:tcW w:w="5040" w:type="dxa"/>
            <w:vAlign w:val="center"/>
          </w:tcPr>
          <w:p w14:paraId="2D4ED49C">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负责加大重污染天气公共交通保障力度。完成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7071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44E16C37">
            <w:pPr>
              <w:widowControl/>
              <w:ind w:firstLine="0" w:firstLineChars="0"/>
              <w:jc w:val="center"/>
              <w:textAlignment w:val="center"/>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color w:val="000000"/>
                <w:kern w:val="0"/>
                <w:sz w:val="32"/>
                <w:szCs w:val="32"/>
                <w:lang w:val="en-US" w:eastAsia="zh-CN"/>
              </w:rPr>
              <w:t>10</w:t>
            </w:r>
          </w:p>
        </w:tc>
        <w:tc>
          <w:tcPr>
            <w:tcW w:w="2552" w:type="dxa"/>
            <w:vAlign w:val="center"/>
          </w:tcPr>
          <w:p w14:paraId="17015FD0">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城管局</w:t>
            </w:r>
          </w:p>
        </w:tc>
        <w:tc>
          <w:tcPr>
            <w:tcW w:w="5040" w:type="dxa"/>
            <w:vAlign w:val="center"/>
          </w:tcPr>
          <w:p w14:paraId="2AC55C45">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负责制定并落实重污染天气道路扬尘、餐饮油烟、露天焚烧等控制实施方案。完成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5020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50780F25">
            <w:pPr>
              <w:widowControl/>
              <w:ind w:firstLine="0" w:firstLineChars="0"/>
              <w:jc w:val="center"/>
              <w:textAlignment w:val="center"/>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color w:val="000000"/>
                <w:kern w:val="0"/>
                <w:sz w:val="32"/>
                <w:szCs w:val="32"/>
                <w:lang w:val="en-US" w:eastAsia="zh-CN"/>
              </w:rPr>
              <w:t>11</w:t>
            </w:r>
          </w:p>
        </w:tc>
        <w:tc>
          <w:tcPr>
            <w:tcW w:w="2552" w:type="dxa"/>
            <w:vAlign w:val="center"/>
          </w:tcPr>
          <w:p w14:paraId="28E9D62F">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应急局</w:t>
            </w:r>
          </w:p>
        </w:tc>
        <w:tc>
          <w:tcPr>
            <w:tcW w:w="5040" w:type="dxa"/>
            <w:vAlign w:val="center"/>
          </w:tcPr>
          <w:p w14:paraId="2DCA9773">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负责督促、指导重污染天气工业企业临时停产、限产（降低生产负荷）、烟花爆竹安全生产工作。完成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7186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63" w:type="dxa"/>
            <w:vAlign w:val="center"/>
          </w:tcPr>
          <w:p w14:paraId="1AB5EF55">
            <w:pPr>
              <w:widowControl/>
              <w:ind w:firstLine="0" w:firstLineChars="0"/>
              <w:jc w:val="center"/>
              <w:textAlignment w:val="center"/>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color w:val="000000"/>
                <w:kern w:val="0"/>
                <w:sz w:val="32"/>
                <w:szCs w:val="32"/>
                <w:lang w:val="en-US" w:eastAsia="zh-CN"/>
              </w:rPr>
              <w:t>12</w:t>
            </w:r>
          </w:p>
        </w:tc>
        <w:tc>
          <w:tcPr>
            <w:tcW w:w="2552" w:type="dxa"/>
            <w:vAlign w:val="center"/>
          </w:tcPr>
          <w:p w14:paraId="50AB4B26">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市监局</w:t>
            </w:r>
          </w:p>
        </w:tc>
        <w:tc>
          <w:tcPr>
            <w:tcW w:w="5040" w:type="dxa"/>
            <w:vAlign w:val="center"/>
          </w:tcPr>
          <w:p w14:paraId="566EBE48">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负责全</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烟花爆竹、散煤、油品质量市场监管。完成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35FB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 w:type="dxa"/>
            <w:vAlign w:val="center"/>
          </w:tcPr>
          <w:p w14:paraId="55263977">
            <w:pPr>
              <w:widowControl/>
              <w:ind w:firstLine="0" w:firstLineChars="0"/>
              <w:jc w:val="center"/>
              <w:textAlignment w:val="center"/>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color w:val="000000"/>
                <w:kern w:val="0"/>
                <w:sz w:val="32"/>
                <w:szCs w:val="32"/>
                <w:lang w:val="en-US" w:eastAsia="zh-CN"/>
              </w:rPr>
              <w:t>13</w:t>
            </w:r>
          </w:p>
        </w:tc>
        <w:tc>
          <w:tcPr>
            <w:tcW w:w="2552" w:type="dxa"/>
            <w:vAlign w:val="center"/>
          </w:tcPr>
          <w:p w14:paraId="3677675E">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农</w:t>
            </w:r>
            <w:r>
              <w:rPr>
                <w:rFonts w:hint="eastAsia" w:ascii="仿宋_GB2312" w:hAnsi="仿宋_GB2312" w:eastAsia="仿宋_GB2312" w:cs="仿宋_GB2312"/>
                <w:color w:val="000000"/>
                <w:kern w:val="0"/>
                <w:sz w:val="32"/>
                <w:szCs w:val="32"/>
                <w:lang w:val="en-US" w:eastAsia="zh-CN"/>
              </w:rPr>
              <w:t>水</w:t>
            </w:r>
            <w:r>
              <w:rPr>
                <w:rFonts w:hint="eastAsia" w:ascii="仿宋_GB2312" w:hAnsi="仿宋_GB2312" w:eastAsia="仿宋_GB2312" w:cs="仿宋_GB2312"/>
                <w:color w:val="000000"/>
                <w:kern w:val="0"/>
                <w:sz w:val="32"/>
                <w:szCs w:val="32"/>
              </w:rPr>
              <w:t>局</w:t>
            </w:r>
          </w:p>
        </w:tc>
        <w:tc>
          <w:tcPr>
            <w:tcW w:w="5040" w:type="dxa"/>
            <w:vAlign w:val="center"/>
          </w:tcPr>
          <w:p w14:paraId="1DC55286">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负责制定并落实农作物秸秆综合利用技术实施方案。完成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7BB5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963" w:type="dxa"/>
            <w:vAlign w:val="center"/>
          </w:tcPr>
          <w:p w14:paraId="10A408E0">
            <w:pPr>
              <w:widowControl/>
              <w:ind w:firstLine="0" w:firstLineChars="0"/>
              <w:jc w:val="center"/>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14</w:t>
            </w:r>
          </w:p>
        </w:tc>
        <w:tc>
          <w:tcPr>
            <w:tcW w:w="2552" w:type="dxa"/>
            <w:vAlign w:val="center"/>
          </w:tcPr>
          <w:p w14:paraId="7FF543A0">
            <w:pPr>
              <w:widowControl/>
              <w:ind w:firstLine="0" w:firstLineChars="0"/>
              <w:jc w:val="center"/>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教体局</w:t>
            </w:r>
          </w:p>
        </w:tc>
        <w:tc>
          <w:tcPr>
            <w:tcW w:w="5040" w:type="dxa"/>
            <w:vAlign w:val="center"/>
          </w:tcPr>
          <w:p w14:paraId="7F30518C">
            <w:pPr>
              <w:widowControl/>
              <w:ind w:firstLine="0" w:firstLineChars="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负责制定并落实重污染天气中小学和幼儿园减少户外活动及停课实施预案。完成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0BF3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7B546950">
            <w:pPr>
              <w:widowControl/>
              <w:ind w:firstLine="0" w:firstLineChars="0"/>
              <w:jc w:val="center"/>
              <w:textAlignment w:val="center"/>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color w:val="000000"/>
                <w:kern w:val="0"/>
                <w:sz w:val="32"/>
                <w:szCs w:val="32"/>
                <w:lang w:val="en-US" w:eastAsia="zh-CN"/>
              </w:rPr>
              <w:t>15</w:t>
            </w:r>
          </w:p>
        </w:tc>
        <w:tc>
          <w:tcPr>
            <w:tcW w:w="2552" w:type="dxa"/>
            <w:vAlign w:val="center"/>
          </w:tcPr>
          <w:p w14:paraId="70591693">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卫健委</w:t>
            </w:r>
          </w:p>
        </w:tc>
        <w:tc>
          <w:tcPr>
            <w:tcW w:w="5040" w:type="dxa"/>
            <w:vAlign w:val="center"/>
          </w:tcPr>
          <w:p w14:paraId="24C3F0A0">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按上级部门要求制定并落实重污染天气卫生应急行动预案。完成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bl>
    <w:p w14:paraId="04847110">
      <w:pPr>
        <w:widowControl/>
        <w:ind w:firstLine="0" w:firstLineChars="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注：本预案未规定职责的其他单位应服从</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重污染天气应急指挥部的指挥，根据应急响应工作需要，开展相应应对工作。</w:t>
      </w:r>
    </w:p>
    <w:p w14:paraId="629DF345"/>
    <w:p w14:paraId="31139ED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E72FA"/>
    <w:rsid w:val="288822B5"/>
    <w:rsid w:val="2ADB5468"/>
    <w:rsid w:val="50001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Cs w:val="32"/>
      <w:lang w:val="zh-CN" w:bidi="zh-CN"/>
    </w:rPr>
  </w:style>
  <w:style w:type="paragraph" w:customStyle="1" w:styleId="3">
    <w:name w:val="引用1"/>
    <w:next w:val="1"/>
    <w:qFormat/>
    <w:uiPriority w:val="0"/>
    <w:pPr>
      <w:wordWrap w:val="0"/>
      <w:spacing w:line="560" w:lineRule="exact"/>
      <w:ind w:firstLine="1040" w:firstLineChars="200"/>
      <w:jc w:val="both"/>
    </w:pPr>
    <w:rPr>
      <w:rFonts w:ascii="Times New Roman" w:hAnsi="Times New Roman" w:eastAsia="仿宋" w:cs="Times New Roman"/>
      <w:sz w:val="32"/>
      <w:lang w:val="en-US" w:eastAsia="zh-CN" w:bidi="ar-SA"/>
    </w:rPr>
  </w:style>
  <w:style w:type="paragraph" w:styleId="4">
    <w:name w:val="footer"/>
    <w:basedOn w:val="1"/>
    <w:qFormat/>
    <w:uiPriority w:val="99"/>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1040</Words>
  <Characters>1046</Characters>
  <Lines>0</Lines>
  <Paragraphs>0</Paragraphs>
  <TotalTime>0</TotalTime>
  <ScaleCrop>false</ScaleCrop>
  <LinksUpToDate>false</LinksUpToDate>
  <CharactersWithSpaces>1057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2025-09-22T08:12:00Z</dcterms:created>
  <dc:creator>admin</dc:creator>
  <cp:lastModifiedBy>白真安</cp:lastModifiedBy>
  <dcterms:modified xsi:type="dcterms:W3CDTF">2025-09-22T09:12:34Z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eyJoZGlkIjoiNmJlOGQxNzJhMDgzYmZlZjFkNjJiMmFkZDRmNzk4OTIiLCJ1c2VySWQiOiI0ODE0MTE5MTcifQ==</vt:lpwstr>
  </property>
  <property fmtid="{D5CDD505-2E9C-101B-9397-08002B2CF9AE}" pid="4" name="ICV">
    <vt:lpwstr>00417D3F860947E4854A5B5B53FE4E03_12</vt:lpwstr>
  </property>
</Properties>
</file>