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EA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关于公开征求《</w:t>
      </w:r>
      <w:r>
        <w:rPr>
          <w:rFonts w:hint="eastAsia"/>
          <w:b/>
          <w:bCs/>
          <w:sz w:val="44"/>
          <w:szCs w:val="52"/>
        </w:rPr>
        <w:t>昌江区国家级慢性病综合防控示范区复审工作实施方案</w:t>
      </w:r>
      <w:r>
        <w:rPr>
          <w:rFonts w:hint="eastAsia"/>
          <w:b/>
          <w:bCs/>
          <w:sz w:val="44"/>
          <w:szCs w:val="52"/>
          <w:lang w:eastAsia="zh-CN"/>
        </w:rPr>
        <w:t>（</w:t>
      </w:r>
      <w:r>
        <w:rPr>
          <w:rFonts w:hint="eastAsia"/>
          <w:b/>
          <w:bCs/>
          <w:sz w:val="44"/>
          <w:szCs w:val="52"/>
        </w:rPr>
        <w:t>征求意见稿）》意见的函</w:t>
      </w:r>
    </w:p>
    <w:p w14:paraId="53BDA8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color w:val="FF000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市民朋友们:</w:t>
      </w:r>
    </w:p>
    <w:p w14:paraId="1A4951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right="0" w:firstLine="62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lang w:val="en-US" w:eastAsia="zh-CN"/>
        </w:rPr>
        <w:t>贯彻落实《“健康中国2030”规划纲要》《中国防治慢性病中长期规划（2017— 2025年）》等文件要求，全面提升我区慢性病综合防控能力，优化示范引领作用，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</w:rPr>
        <w:t>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</w:rPr>
        <w:t>昌江区国家级慢性病综合防控示范区复审工作实施方案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</w:rPr>
        <w:t>征求意见稿）》向社会公众公开征求意见。如有意见建议,请于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</w:rPr>
        <w:t>日前书面反馈至昌江区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lang w:val="en-US" w:eastAsia="zh-CN"/>
        </w:rPr>
        <w:t>疾病预防控制中心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</w:rPr>
        <w:t>。逾期视为无意见。联系人:昌江区疾控中心慢病科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</w:rPr>
        <w:t>咨询电话：0793-8335569。,邮箱:cjqcdcmbk@163.com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lang w:eastAsia="zh-CN"/>
        </w:rPr>
        <w:t>。</w:t>
      </w:r>
    </w:p>
    <w:p w14:paraId="51D23F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lang w:eastAsia="zh-CN"/>
        </w:rPr>
      </w:pPr>
    </w:p>
    <w:p w14:paraId="3D9E86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lang w:eastAsia="zh-CN"/>
        </w:rPr>
      </w:pPr>
    </w:p>
    <w:p w14:paraId="7FD4F754">
      <w:pPr>
        <w:ind w:left="4650" w:hanging="4650" w:hangingChars="1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lang w:val="en-US" w:eastAsia="zh-CN"/>
        </w:rPr>
        <w:t xml:space="preserve">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昌江区疾病预防控制中心</w:t>
      </w:r>
    </w:p>
    <w:p w14:paraId="6750344E">
      <w:pPr>
        <w:ind w:left="4800" w:hanging="4800" w:hangingChars="1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 2025年6月17日</w:t>
      </w:r>
    </w:p>
    <w:p w14:paraId="4BE78229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35D5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2F5A7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8A92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昌江区国家级慢性病综合防控示范区</w:t>
      </w:r>
    </w:p>
    <w:p w14:paraId="77E4FC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复审工作实施方案</w:t>
      </w:r>
    </w:p>
    <w:p w14:paraId="66FC63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p w14:paraId="06B42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BBE0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进一步巩固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国家级慢性病综合防控示范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保障人民群众身体健康，提高生活质量，促进全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慢性病防控工作的深入开展，按照省卫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</w:rPr>
        <w:t>委《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关于印发江西省慢性病综合防控示范区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建设管理办法的通知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赣卫疾控字〔2021〕20号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实施方案。</w:t>
      </w:r>
    </w:p>
    <w:p w14:paraId="17D5F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一、建设目标和原则</w:t>
      </w:r>
    </w:p>
    <w:p w14:paraId="04D9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（一）目标</w:t>
      </w:r>
    </w:p>
    <w:p w14:paraId="2ABD2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48484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坚持以人民健康为中心，强化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责任，创造和维护健康的社会环境，降低因慢性病造成的过早死亡，有效控制慢性病疾病负担增长，推进健康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昌江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建设。</w:t>
      </w:r>
      <w:r>
        <w:rPr>
          <w:rFonts w:hint="eastAsia" w:ascii="仿宋_GB2312" w:hAnsi="仿宋_GB2312" w:eastAsia="仿宋_GB2312" w:cs="仿宋_GB2312"/>
          <w:color w:val="484848"/>
          <w:sz w:val="32"/>
          <w:szCs w:val="32"/>
        </w:rPr>
        <w:t> </w:t>
      </w:r>
    </w:p>
    <w:p w14:paraId="115E7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（二）原则</w:t>
      </w:r>
    </w:p>
    <w:p w14:paraId="64BA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坚持政府主导、部门协作、动员社会、全民参与的慢性病综合防控工作机制。坚持预防为主、防治结合、中西医并重，发挥医疗卫生服务体系的整体功能，提供全人群全生命周期的慢性病防治管理服务，推进疾病治疗向健康管理转变。</w:t>
      </w:r>
    </w:p>
    <w:p w14:paraId="28799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二、工作步骤</w:t>
      </w:r>
    </w:p>
    <w:p w14:paraId="2F16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（一）动员部署阶段：20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月</w:t>
      </w:r>
    </w:p>
    <w:p w14:paraId="679B5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慢性病防控示范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领导小组督导制度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工作方案，出台相关文件，印发相关资料，召开领导小组工作会议和联络员会议，动员部署各项工作任务。</w:t>
      </w:r>
    </w:p>
    <w:p w14:paraId="3B40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（二）实施建设阶段：20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月至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月</w:t>
      </w:r>
    </w:p>
    <w:p w14:paraId="7BA75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各乡镇（街道）和各部门要按照职责分工，落实《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国家级慢性病综合防控示范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工作任务分解表》任务，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慢病防控示范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工作领导小组办公室定期对各职能部门开展指导和督查工作。</w:t>
      </w:r>
    </w:p>
    <w:p w14:paraId="21C4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（三）自查迎检阶段：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时间待定</w:t>
      </w:r>
    </w:p>
    <w:p w14:paraId="6D1C1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接受国家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、省、市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</w:rPr>
        <w:t>委专家的检查验收。</w:t>
      </w:r>
    </w:p>
    <w:p w14:paraId="03EB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三、具体工作职责、任务（见附件1）</w:t>
      </w:r>
    </w:p>
    <w:p w14:paraId="7E13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慢病防控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领导小组办公室：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负责工作规划与方案的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、组织实施、协调管理、督导检查和考核评估等工作；根据工作需要，每年至少组织1次领导小组会议及联络员会议；制定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慢性病防控规划并纳入我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区政府社会经济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发展规划或政府报告中；督促落实相关部门工作职责，统筹协调解决实施过程中存在的问题和困难，保证各项工作的顺利开展。</w:t>
      </w:r>
    </w:p>
    <w:p w14:paraId="3E6F9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（二）区监察委：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负责参与对示范区建设工作督察，对工作进展不力的，影响创建工作单位进行追责。</w:t>
      </w:r>
    </w:p>
    <w:p w14:paraId="3774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区委宣传部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负责在大众主流媒体上设置健康教育宣传专栏，每月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宣传“三减三健”、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慢性病防治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健康素养知识和技能不少于2次；及时报道卫生宣传日等重大活动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制作慢性病示范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建设电视专题片。</w:t>
      </w:r>
    </w:p>
    <w:p w14:paraId="0A64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财政局：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负责做好示范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建设有关经费保障，将慢性病防控工作经费纳入财政预算并安排专项经费；建立项目资金扶持的长效机制，实现慢病防治工作可持续发展，加强经费使用的监管，确保专款专用。</w:t>
      </w:r>
    </w:p>
    <w:p w14:paraId="12D8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发改委：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负责将慢性病防控工作纳入政府社会经济发展规划之中，统筹兼顾；积极引进社会资本参与慢性病防控工作，为慢性病患者提供健康服务。</w:t>
      </w:r>
    </w:p>
    <w:p w14:paraId="33F8F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（六）区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卫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健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慢性病综合防控工作领导小组办公室日常工作；制定慢性病防控体系建设实施方案，明确各医疗机构职责，定期督导体系运行情况；负责慢性病全程管理工作，加强慢性病防控专业队伍建设，积极开展慢性病相关知识宣传，加强慢性病高危人群自我管理工作，建立分级诊疗制度，推进家庭医生签约服务积极完善区域信息平台的建立，实现医疗机构信息互通共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开展控烟工作，督查室内公共场所和公共交通工具是否设置禁烟标识，全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所有党政机关、医疗机构、学校建设无烟单位。</w:t>
      </w:r>
    </w:p>
    <w:p w14:paraId="6488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（七）区人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社局：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慢性病防控工作领导小组提供与慢性病有关的政策资料和相关数据。</w:t>
      </w:r>
    </w:p>
    <w:p w14:paraId="454B5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（八）区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教体局：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负责制订青少年体育活动促进计划，保证中小学学生每天锻炼时间不少于1小时；积极收集相关资料提供经常参加体育锻炼人口数据、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人均体育场地面积、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公共体育设施等资料；制定学校控烟制度，创建无烟学校；大力宣传慢性病防控知识，在校内设置慢性病知识宣传栏，将慢性病防控知识内容纳入中小学健康教育课程，每学期不少于6学时；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开展学生体检，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配合做好健康学校、健康食堂等创建工作。</w:t>
      </w:r>
    </w:p>
    <w:p w14:paraId="4457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（九）区农业农村水利局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将慢性病示范建设工作与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建设相结合，在建设秀美乡村中融入慢性病防控、全民健康生活方式行动知识等倡导健康元素，在秀美乡村中建设健康步道、健康公园、健康小屋、健康一条街等。</w:t>
      </w:r>
    </w:p>
    <w:p w14:paraId="3C8EE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（十）区住建局：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在新小区建设、老旧小区改造、公园建设过程中融入慢病防控、全民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健康生活方式行动知识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3C8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（十一）区商务局：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协助健康餐厅（酒店）的创建工作，指导餐饮企业改善菜品结构。促使餐饮单位增加蔬菜、水果、全谷物等健康食材的使用比例，减少油炸食品和高糖饮料的供应。</w:t>
      </w:r>
    </w:p>
    <w:p w14:paraId="2E2A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（十二）区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民政局：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协助提供全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肿瘤病人、死亡信息及医养结合等资料的上报。</w:t>
      </w:r>
    </w:p>
    <w:p w14:paraId="68961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（十三）区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统计局：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负责提供全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的基础资料并及时更新，确保资料的准确性。</w:t>
      </w:r>
    </w:p>
    <w:p w14:paraId="700F4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十四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区文广新旅局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将慢性病示范建设工作与旅游相结合，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在景区周围建立与提供慢性病防控健康教育宣传的支持性环境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送电影下乡活动，宣传“三减三健”、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慢性病防治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健康素养知识和技能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播放视频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不少于2次。</w:t>
      </w:r>
    </w:p>
    <w:p w14:paraId="32ED8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（十五）区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市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场监督管理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食堂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的创建工作，推广食物营养标签；负责在全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餐饮业推广低糖、低油、低脂和低盐等有利于健康的食品；对餐饮业管理和从业人员定期进行健康饮食的宣传教育和培训；在机关、学校、企事业食堂和公共餐厅推广健康饮食宣传制度。</w:t>
      </w:r>
    </w:p>
    <w:p w14:paraId="7A982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（十六）区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城管局：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负责为慢性病防控知识户外宣传活动提供支持性环境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禁止烟草广告。</w:t>
      </w:r>
    </w:p>
    <w:p w14:paraId="07A7E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（十七）区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医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保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负责完善落实基本医疗保险、大病保险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和医疗救助重大疾病保障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等相关政策，为城乡居民、机关、企事业单位职工体检提供政策支持，积极配合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委做好肿瘤登记工作，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商业保险参与医疗救助等相关信息。</w:t>
      </w:r>
    </w:p>
    <w:p w14:paraId="52DD2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（十八）昌江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公安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分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负责提供全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人口及死亡资料，协助卫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委做好居民死亡登记报告工作。</w:t>
      </w:r>
    </w:p>
    <w:p w14:paraId="2A15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十九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总工会：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负责督促全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各级工会组织，积极争取职工的健康权益；每年组织开展多部门参与的集体群众健身活动至少1次；鼓励群众广泛开展健身活动；重点落实健身场所和工间健身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。督促各单位为职工提供健康、安全的生产、工作环境。</w:t>
      </w:r>
    </w:p>
    <w:p w14:paraId="2C4C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（二十）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昌江产业园管委会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负责提供企业名单，协助企业上报开展工间操、健身活动及健康体检等相关资料。</w:t>
      </w:r>
    </w:p>
    <w:p w14:paraId="628E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二十一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）区妇联：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负责开展多部门参与的集体妇女群众健身活动，鼓励城乡妇女广泛开展健身活动。积极开展慢性病防治讲座，组织妇女同志参加全民健康生活方式行动，倡导健康文明的生活方式。</w:t>
      </w:r>
    </w:p>
    <w:p w14:paraId="0BC8E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二十二）区爱卫办：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开展控烟工作，督查室内公共场所和公共交通工具是否设置禁烟标识，全区所有党政机关、医疗机构、学校建设无烟单位。</w:t>
      </w:r>
    </w:p>
    <w:p w14:paraId="58D75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15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二十三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）各乡镇(街道)：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配合开展慢性病健康教育工作，大力推广全民健康生活方式行动；建设和完善社区(村)健身场所、健康教育活动室和宣传栏；协助开展健康主题公园、健康步道、健康小屋、健康一条街、健康社区、健康单位、健康学校、健康餐厅、健康食堂等示范项目创建工作；各社区（村）积极开展健康家庭活动；在本辖区内组建5个以上群众健身团体，在健身团体内大力发展健康指导员和志愿者，每月至少组织开展1次活动；积极配合乡镇卫生院报告辖区内发生的死亡病例、恶性肿瘤病例。</w:t>
      </w:r>
    </w:p>
    <w:p w14:paraId="20030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15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四、加大经费投入</w:t>
      </w:r>
    </w:p>
    <w:p w14:paraId="15C5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建设工作列入政府工作的任务，慢性病防控工作经费纳入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财政预算，每年安排慢性病防控专项经费。建立政府主导、社会力量支持的慢性病综合防控工作经费保障机制，保障慢性病防控工作长久可持续发展。</w:t>
      </w:r>
    </w:p>
    <w:p w14:paraId="20D5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五、强化政策保障</w:t>
      </w:r>
    </w:p>
    <w:p w14:paraId="0A1A49E5">
      <w:pPr>
        <w:keepNext w:val="0"/>
        <w:keepLines w:val="0"/>
        <w:pageBreakBefore w:val="0"/>
        <w:widowControl w:val="0"/>
        <w:tabs>
          <w:tab w:val="left" w:pos="4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各乡镇（街道）和各部门要将慢性病综合防控工作纳入议事日程，列入常规工作任务，出台相关政策，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指定分管领导、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设定联络员一名，定期将工作资料整理成册上报领导小组办公室。</w:t>
      </w:r>
    </w:p>
    <w:p w14:paraId="1373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六、加强能力建设</w:t>
      </w:r>
    </w:p>
    <w:p w14:paraId="3199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部门要加强慢性病防控队伍建设，各医疗机构要有专人负责慢性病防控工作，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直医疗机构与基层医疗卫生机构要建立对口帮扶指导关系，定期为基层医疗机构提供规范化培训和技术指导，提高基层卫生人员慢性病综合防控能力和诊疗技术水平。</w:t>
      </w:r>
    </w:p>
    <w:p w14:paraId="2A93B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七、严格督导考核</w:t>
      </w:r>
    </w:p>
    <w:p w14:paraId="05802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为了确保国家级慢性病综合防控示范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工作取得实效，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建设领导小组建立工作督导制度（附件2），每年组织2次由5个以上部门参与的联合督导，对各部门慢性病防控示范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建设工作落实情况进行现场督导检查。督导内容包括部门合作建立的信息沟通共享、激励问责、质量控制等情况。</w:t>
      </w:r>
    </w:p>
    <w:p w14:paraId="12002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color w:val="C00000"/>
          <w:sz w:val="32"/>
          <w:szCs w:val="32"/>
        </w:rPr>
      </w:pPr>
    </w:p>
    <w:p w14:paraId="73138707"/>
    <w:p w14:paraId="24DECAF4">
      <w:pPr>
        <w:spacing w:line="600" w:lineRule="exact"/>
        <w:ind w:left="1285" w:hanging="1285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  <w:t>昌江区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国家级慢性病综合防控示范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建设工作任务及责任分解表</w:t>
      </w:r>
    </w:p>
    <w:p w14:paraId="4E158C6B">
      <w:pPr>
        <w:ind w:left="1280" w:hanging="1285" w:hangingChars="4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：昌江区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国家级慢性病综合防控示范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工作领导小组督导制度</w:t>
      </w:r>
    </w:p>
    <w:p w14:paraId="14649E16">
      <w:pPr>
        <w:bidi w:val="0"/>
        <w:ind w:firstLine="523" w:firstLineChars="0"/>
        <w:jc w:val="left"/>
        <w:rPr>
          <w:rFonts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60C93"/>
    <w:rsid w:val="0F36499C"/>
    <w:rsid w:val="12C20C89"/>
    <w:rsid w:val="24AE2376"/>
    <w:rsid w:val="36201D7F"/>
    <w:rsid w:val="4467501D"/>
    <w:rsid w:val="49F60C93"/>
    <w:rsid w:val="6F5222A2"/>
    <w:rsid w:val="73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251</Words>
  <Characters>293</Characters>
  <Lines>0</Lines>
  <Paragraphs>0</Paragraphs>
  <TotalTime>1</TotalTime>
  <ScaleCrop>false</ScaleCrop>
  <LinksUpToDate>false</LinksUpToDate>
  <CharactersWithSpaces>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2025-06-13T07:25:00Z</dcterms:created>
  <dc:creator>五</dc:creator>
  <cp:lastModifiedBy>白真安</cp:lastModifiedBy>
  <dcterms:modified xsi:type="dcterms:W3CDTF">2025-06-25T07:41:17Z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4F767702C5434B6189B205B4069DDC6B_13</vt:lpwstr>
  </property>
  <property fmtid="{D5CDD505-2E9C-101B-9397-08002B2CF9AE}" pid="4" name="KSOTemplateDocerSaveRecord">
    <vt:lpwstr>eyJoZGlkIjoiNmJlOGQxNzJhMDgzYmZlZjFkNjJiMmFkZDRmNzk4OTIiLCJ1c2VySWQiOiI0ODE0MTE5MTcifQ==</vt:lpwstr>
  </property>
</Properties>
</file>