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0D0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880" w:firstLineChars="20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rPr>
        <w:t>关于征求《</w:t>
      </w:r>
      <w:r>
        <w:rPr>
          <w:rFonts w:hint="eastAsia" w:ascii="方正小标宋简体" w:hAnsi="方正小标宋简体" w:eastAsia="方正小标宋简体" w:cs="方正小标宋简体"/>
          <w:b w:val="0"/>
          <w:bCs w:val="0"/>
          <w:i w:val="0"/>
          <w:iCs w:val="0"/>
          <w:caps w:val="0"/>
          <w:color w:val="auto"/>
          <w:spacing w:val="0"/>
          <w:sz w:val="44"/>
          <w:szCs w:val="44"/>
        </w:rPr>
        <w:t>昌江区县域义务教育优质均衡发展督导评估迎评工作实施方案</w:t>
      </w:r>
      <w:r>
        <w:rPr>
          <w:rFonts w:hint="eastAsia" w:ascii="方正小标宋简体" w:hAnsi="方正小标宋简体" w:eastAsia="方正小标宋简体" w:cs="方正小标宋简体"/>
          <w:b w:val="0"/>
          <w:bCs w:val="0"/>
          <w:i w:val="0"/>
          <w:iCs w:val="0"/>
          <w:caps w:val="0"/>
          <w:color w:val="auto"/>
          <w:spacing w:val="0"/>
          <w:sz w:val="44"/>
          <w:szCs w:val="44"/>
        </w:rPr>
        <w:t>（征求意见稿）》意见的函</w:t>
      </w:r>
    </w:p>
    <w:p w14:paraId="011B6CE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为深入贯彻落实国家、省、市关于县域义务教育优质均衡发展督导评估的工作部署，扎实推进我区义务教育优质均衡发展创建工作，高质量完成迎评各项任务，</w:t>
      </w:r>
      <w:r>
        <w:rPr>
          <w:rFonts w:hint="eastAsia" w:ascii="仿宋" w:hAnsi="仿宋" w:eastAsia="仿宋" w:cs="仿宋"/>
          <w:i w:val="0"/>
          <w:iCs w:val="0"/>
          <w:caps w:val="0"/>
          <w:color w:val="auto"/>
          <w:spacing w:val="0"/>
          <w:sz w:val="32"/>
          <w:szCs w:val="32"/>
          <w:shd w:val="clear" w:fill="FFFFFF"/>
        </w:rPr>
        <w:t>经认真研究</w:t>
      </w:r>
      <w:r>
        <w:rPr>
          <w:rFonts w:hint="eastAsia" w:ascii="仿宋" w:hAnsi="仿宋" w:eastAsia="仿宋" w:cs="仿宋"/>
          <w:color w:val="auto"/>
          <w:sz w:val="32"/>
          <w:szCs w:val="32"/>
        </w:rPr>
        <w:t>《关于印发县域义务教育优质均衡发展督导评估办法的通知》（教督〔2017〕6号）、《江西省县域义务教育优质均衡发展督导评估实施意见》（赣教督委字〔2018〕6号）和《江西省县域义务教育均衡发展督导评估推进计划（2020—2035年）》结合昌江区实际形成初稿向各部门征求意见，现将《昌江区县域义务教育优质均衡发展督导评估迎评工作实施方案》发给你们征求意见，请各单位结合实际，认真研究，于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3月16</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星期一</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下</w:t>
      </w:r>
      <w:r>
        <w:rPr>
          <w:rFonts w:hint="eastAsia" w:ascii="仿宋" w:hAnsi="仿宋" w:eastAsia="仿宋" w:cs="仿宋"/>
          <w:color w:val="auto"/>
          <w:sz w:val="32"/>
          <w:szCs w:val="32"/>
        </w:rPr>
        <w:t>午下班前将修改意见建议加盖公章发送至我</w:t>
      </w:r>
      <w:r>
        <w:rPr>
          <w:rFonts w:hint="eastAsia" w:ascii="仿宋" w:hAnsi="仿宋" w:eastAsia="仿宋" w:cs="仿宋"/>
          <w:color w:val="auto"/>
          <w:sz w:val="32"/>
          <w:szCs w:val="32"/>
          <w:lang w:val="en-US" w:eastAsia="zh-CN"/>
        </w:rPr>
        <w:t>处</w:t>
      </w:r>
      <w:r>
        <w:rPr>
          <w:rFonts w:hint="eastAsia" w:ascii="仿宋" w:hAnsi="仿宋" w:eastAsia="仿宋" w:cs="仿宋"/>
          <w:color w:val="auto"/>
          <w:sz w:val="32"/>
          <w:szCs w:val="32"/>
        </w:rPr>
        <w:t>或赣政通，无意见也请书面反馈。</w:t>
      </w:r>
    </w:p>
    <w:p w14:paraId="6126CD0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rPr>
        <w:t>联系人：</w:t>
      </w:r>
      <w:r>
        <w:rPr>
          <w:rFonts w:hint="eastAsia" w:ascii="仿宋" w:hAnsi="仿宋" w:eastAsia="仿宋" w:cs="仿宋"/>
          <w:i w:val="0"/>
          <w:iCs w:val="0"/>
          <w:caps w:val="0"/>
          <w:color w:val="auto"/>
          <w:spacing w:val="0"/>
          <w:sz w:val="32"/>
          <w:szCs w:val="32"/>
          <w:shd w:val="clear" w:fill="FFFFFF"/>
          <w:lang w:val="en-US" w:eastAsia="zh-CN"/>
        </w:rPr>
        <w:t xml:space="preserve">余思敏   </w:t>
      </w:r>
      <w:r>
        <w:rPr>
          <w:rFonts w:hint="eastAsia" w:ascii="仿宋" w:hAnsi="仿宋" w:eastAsia="仿宋" w:cs="仿宋"/>
          <w:i w:val="0"/>
          <w:iCs w:val="0"/>
          <w:caps w:val="0"/>
          <w:color w:val="auto"/>
          <w:spacing w:val="0"/>
          <w:sz w:val="32"/>
          <w:szCs w:val="32"/>
          <w:shd w:val="clear" w:fill="FFFFFF"/>
        </w:rPr>
        <w:t>手机：</w:t>
      </w:r>
      <w:r>
        <w:rPr>
          <w:rFonts w:hint="eastAsia" w:ascii="仿宋" w:hAnsi="仿宋" w:eastAsia="仿宋" w:cs="仿宋"/>
          <w:i w:val="0"/>
          <w:iCs w:val="0"/>
          <w:caps w:val="0"/>
          <w:color w:val="auto"/>
          <w:spacing w:val="0"/>
          <w:sz w:val="32"/>
          <w:szCs w:val="32"/>
          <w:shd w:val="clear" w:fill="FFFFFF"/>
          <w:lang w:val="en-US" w:eastAsia="zh-CN"/>
        </w:rPr>
        <w:t>13320030724</w:t>
      </w:r>
      <w:r>
        <w:rPr>
          <w:rFonts w:hint="eastAsia" w:ascii="仿宋" w:hAnsi="仿宋" w:eastAsia="仿宋" w:cs="仿宋"/>
          <w:i w:val="0"/>
          <w:iCs w:val="0"/>
          <w:caps w:val="0"/>
          <w:color w:val="auto"/>
          <w:spacing w:val="0"/>
          <w:sz w:val="32"/>
          <w:szCs w:val="32"/>
          <w:shd w:val="clear" w:fill="FFFFFF"/>
        </w:rPr>
        <w:t>（赣政通同号</w:t>
      </w:r>
      <w:r>
        <w:rPr>
          <w:rFonts w:hint="eastAsia" w:ascii="仿宋" w:hAnsi="仿宋" w:eastAsia="仿宋" w:cs="仿宋"/>
          <w:i w:val="0"/>
          <w:iCs w:val="0"/>
          <w:caps w:val="0"/>
          <w:color w:val="auto"/>
          <w:spacing w:val="0"/>
          <w:sz w:val="32"/>
          <w:szCs w:val="32"/>
          <w:shd w:val="clear" w:fill="FFFFFF"/>
          <w:lang w:eastAsia="zh-CN"/>
        </w:rPr>
        <w:t>）</w:t>
      </w:r>
    </w:p>
    <w:p w14:paraId="253B84C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i w:val="0"/>
          <w:iCs w:val="0"/>
          <w:caps w:val="0"/>
          <w:color w:val="auto"/>
          <w:spacing w:val="0"/>
          <w:sz w:val="32"/>
          <w:szCs w:val="32"/>
          <w:shd w:val="clear" w:fill="FFFFFF"/>
          <w:lang w:eastAsia="zh-CN"/>
        </w:rPr>
      </w:pPr>
    </w:p>
    <w:p w14:paraId="342AD18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 xml:space="preserve">                              昌江区教育体育局</w:t>
      </w:r>
    </w:p>
    <w:p w14:paraId="11E21706">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lang w:val="en-US" w:eastAsia="zh-CN"/>
        </w:rPr>
        <w:t xml:space="preserve">                              2026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1月15</w:t>
      </w:r>
      <w:r>
        <w:rPr>
          <w:rFonts w:hint="eastAsia" w:ascii="仿宋" w:hAnsi="仿宋" w:eastAsia="仿宋" w:cs="仿宋"/>
          <w:color w:val="auto"/>
          <w:sz w:val="32"/>
          <w:szCs w:val="32"/>
        </w:rPr>
        <w:t>日</w:t>
      </w:r>
    </w:p>
    <w:p w14:paraId="2FF2D3E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昌江区县域义务教育优质均衡发展督导</w:t>
      </w:r>
    </w:p>
    <w:p w14:paraId="37B26472">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评估迎评工作实施方案</w:t>
      </w:r>
    </w:p>
    <w:p w14:paraId="41519773">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（征求意见稿）</w:t>
      </w:r>
      <w:bookmarkStart w:id="0" w:name="_GoBack"/>
      <w:bookmarkEnd w:id="0"/>
    </w:p>
    <w:p w14:paraId="56227D5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教育部《关于印发县域义务教育优质均衡发展督导评估办法的通知》（教督〔2017〕6号）、《江西省县域义务教育优质均衡发展督导评估实施意见》（赣教督委字〔2018〕6号）和《江西省县域义务教育均衡发展督导评估推进计划（2020—2035年）》等文件精神，结合我区实际，特制订本实施方案。</w:t>
      </w:r>
    </w:p>
    <w:p w14:paraId="1B4F564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一、指导思想</w:t>
      </w:r>
    </w:p>
    <w:p w14:paraId="0E7BC0F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党的二十大和习近平新时代中国特色社会主义思想为指导，全面贯彻党的教育方针，强化政府保障力度，优化义务教育资源配置，提升教育质量，加快缩小义务教育校际差距，推动义务教育从基本均衡向优质均衡迈进，保障适龄儿童享有公平而优质的义务教育，为推动把“千年瓷都”这张靓丽的名片擦得更亮提供强有力的智力支持和人才保障。</w:t>
      </w:r>
    </w:p>
    <w:p w14:paraId="0875B5F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二、评估原则</w:t>
      </w:r>
    </w:p>
    <w:p w14:paraId="78A5650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（一）推动质量提升和内涵发展。</w:t>
      </w:r>
      <w:r>
        <w:rPr>
          <w:rFonts w:hint="eastAsia" w:ascii="仿宋" w:hAnsi="仿宋" w:eastAsia="仿宋" w:cs="仿宋"/>
          <w:color w:val="auto"/>
          <w:sz w:val="32"/>
          <w:szCs w:val="32"/>
        </w:rPr>
        <w:t>评估每一所义务教育学校办学条件达标情况的同时，重点考察加强教师队伍和学校管理、提高教育教学质量等情况。</w:t>
      </w:r>
    </w:p>
    <w:p w14:paraId="3257A7F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（二）注重实际效果和群众满意。</w:t>
      </w:r>
      <w:r>
        <w:rPr>
          <w:rFonts w:hint="eastAsia" w:ascii="仿宋" w:hAnsi="仿宋" w:eastAsia="仿宋" w:cs="仿宋"/>
          <w:color w:val="auto"/>
          <w:sz w:val="32"/>
          <w:szCs w:val="32"/>
        </w:rPr>
        <w:t>评估各项指标达到督导评估标准的同时，重点调查当地人民群众对义务教育优质均衡发展的认可度。</w:t>
      </w:r>
    </w:p>
    <w:p w14:paraId="6776DB1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（三）坚持标准不变，实事求是。</w:t>
      </w:r>
      <w:r>
        <w:rPr>
          <w:rFonts w:hint="eastAsia" w:ascii="仿宋" w:hAnsi="仿宋" w:eastAsia="仿宋" w:cs="仿宋"/>
          <w:color w:val="auto"/>
          <w:sz w:val="32"/>
          <w:szCs w:val="32"/>
        </w:rPr>
        <w:t>按照“以评促建”的原则，积极推进县域义务教育优质均衡发展的同时，提升资源配置的灵活性和适应性，坚持实事求是，不搞“一刀切”。</w:t>
      </w:r>
    </w:p>
    <w:p w14:paraId="44F83A8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三、评估内容和任务分工</w:t>
      </w:r>
    </w:p>
    <w:p w14:paraId="65BF629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1.评估指标</w:t>
      </w:r>
    </w:p>
    <w:p w14:paraId="5E2A5A7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正向指标38项。</w:t>
      </w:r>
    </w:p>
    <w:p w14:paraId="13C03B2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共分六大类：资源配置（7项）、政府保障程度（18项）、教育质量（7项）、教育信息化建设（2项）、内涵发展（3项）、社会认可度（1项）。</w:t>
      </w:r>
    </w:p>
    <w:p w14:paraId="7B09FBC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38项中，“A”类指标27项，必须达到，“B”类指标11项，进行量化计分，总分为100分，90分以上为达标。</w:t>
      </w:r>
    </w:p>
    <w:p w14:paraId="20926B0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反向指标（一票否决）7项。</w:t>
      </w:r>
    </w:p>
    <w:p w14:paraId="7B86BD1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评估指标，我区要全面补齐义务教育发展短板，明显缩小城乡间差距，使小学和初中区域综合差异系数分别控制在低于0.50和0.45，明显提高区域内学校教育质量，城乡义务教育学校布局更加合理，构建起“区域内联动发展、城乡间协同发展、信息技术助力发展”的优质均衡发展新格局。2026年6月底前，在资源配置、政府保障程度、教育质量、教育信息化建设、内涵发展、社会认可度等六方面均达到义务教育优质均衡发展县申报标准，确保2026年成功通过省级督导评估。</w:t>
      </w:r>
    </w:p>
    <w:p w14:paraId="69AF68C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2.具体工作任务及分工详见附件《江西省县域义务教育优质均衡发展督导评估指标及责任分工》。</w:t>
      </w:r>
    </w:p>
    <w:p w14:paraId="32AF8B3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四、评估实施程序</w:t>
      </w:r>
    </w:p>
    <w:p w14:paraId="36D7DFE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（一）区级自评（完成时限：2026年6月前）</w:t>
      </w:r>
    </w:p>
    <w:p w14:paraId="70129C0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对照评估指标体系逐项逐条进行自评，在此基础上形成自评报告。经自查确认基本达到评估要求后，将自评报告及相关佐证材料规范整理，并向市级提出评估申请。</w:t>
      </w:r>
    </w:p>
    <w:p w14:paraId="02244CA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（二）市级复核（完成时限：2026年9月初）</w:t>
      </w:r>
    </w:p>
    <w:p w14:paraId="42FDB30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市级对我区进行复核，达标的作出复核结论，并向省人民政府教育督导委员会提出评估申请。</w:t>
      </w:r>
    </w:p>
    <w:p w14:paraId="13386D3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（三）省级评估（完成时限：2026年12月底前）</w:t>
      </w:r>
    </w:p>
    <w:p w14:paraId="371E80E9">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1.资格审核（2026年1月中旬）</w:t>
      </w:r>
    </w:p>
    <w:p w14:paraId="20F3C04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省政府教育督导委员会办公室接到我区的申请，组织专家对我区进行资格审核。资格审核条件如下：</w:t>
      </w:r>
    </w:p>
    <w:p w14:paraId="34ACA52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（1）义务教育基本均衡发展认定三年以上（昌江区2017年通过）；</w:t>
      </w:r>
    </w:p>
    <w:p w14:paraId="694745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（2）教学质量监测中，相关科目的学生学业水平达到三级以上。校际差异系数率低于0.15；</w:t>
      </w:r>
    </w:p>
    <w:p w14:paraId="3C258D7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（3）申报前三年未发生义务教育基本均衡规定指标不达标现象；</w:t>
      </w:r>
    </w:p>
    <w:p w14:paraId="15EEFE3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（4）按义务教育优质均衡规定指标测算的小学、初中差异系数分别不高于0.5、0.45；</w:t>
      </w:r>
    </w:p>
    <w:p w14:paraId="3339EAB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（5）申报当年区教育系统未发生重大安全责任事故或严重违法违纪违规事件，未发生“校闹”、社会舆论关注或人民群众反响强烈的突出问题。</w:t>
      </w:r>
    </w:p>
    <w:p w14:paraId="6AFACB6A">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2.社会认可度调查（2026年5月中旬-6月中旬）</w:t>
      </w:r>
    </w:p>
    <w:p w14:paraId="3E2EE4D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省政府教育督导委员会办公室委托第三方机构对通过资格审核的申报县进行社会认可度调查。</w:t>
      </w:r>
    </w:p>
    <w:p w14:paraId="7DEA1675">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3.网络评估（2026年9月中旬）</w:t>
      </w:r>
    </w:p>
    <w:p w14:paraId="18B7AAF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省政府教育督导委员会办公室将组织专家对申报县的指标数据进行审核。</w:t>
      </w:r>
    </w:p>
    <w:p w14:paraId="0736867D">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4.实地核查（2026年11月中下旬）</w:t>
      </w:r>
    </w:p>
    <w:p w14:paraId="02CE391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实地核查采取“听取政府推进情况介绍、查访政府相关部门、核查档案资料、召开座谈会、随机访谈，抽查学校”等方式进行。</w:t>
      </w:r>
    </w:p>
    <w:p w14:paraId="006A0E7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五、组织领导</w:t>
      </w:r>
    </w:p>
    <w:p w14:paraId="14F04A0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区委、区政府成立迎接义务教育优质均衡发展督导评估工作</w:t>
      </w:r>
      <w:r>
        <w:rPr>
          <w:rFonts w:hint="eastAsia" w:ascii="仿宋" w:hAnsi="仿宋" w:eastAsia="仿宋" w:cs="仿宋"/>
          <w:color w:val="auto"/>
          <w:sz w:val="32"/>
          <w:szCs w:val="32"/>
          <w:lang w:val="en-US" w:eastAsia="zh-CN"/>
        </w:rPr>
        <w:t>专班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工作专班</w:t>
      </w:r>
      <w:r>
        <w:rPr>
          <w:rFonts w:hint="eastAsia" w:ascii="仿宋" w:hAnsi="仿宋" w:eastAsia="仿宋" w:cs="仿宋"/>
          <w:color w:val="auto"/>
          <w:sz w:val="32"/>
          <w:szCs w:val="32"/>
        </w:rPr>
        <w:t>下设办公室，办公室主任由昌江区教育体育局党组书记担任，副主任由分管副局长担任，办公室设在区教体局，负责义务教育优质均衡发展协调调度的具体工作。</w:t>
      </w:r>
    </w:p>
    <w:p w14:paraId="2B8E056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六、工作要求</w:t>
      </w:r>
    </w:p>
    <w:p w14:paraId="4183135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（一）加强沟通配合，完善协调机制。</w:t>
      </w:r>
      <w:r>
        <w:rPr>
          <w:rFonts w:hint="eastAsia" w:ascii="仿宋" w:hAnsi="仿宋" w:eastAsia="仿宋" w:cs="仿宋"/>
          <w:color w:val="auto"/>
          <w:sz w:val="32"/>
          <w:szCs w:val="32"/>
        </w:rPr>
        <w:t>实行党政主导、教育主抓、部门主责、乡（镇）街道主体、学校主创的联动制度，各司其职、齐抓共管，“一盘棋”推进义务教育优质均衡发展工作。区教体局统筹协调、具体规划、组织实施、检查指导和日常管理工作。乡镇（街道）和区直各部门要为优质均衡发展工作提供强有力的保障。</w:t>
      </w:r>
    </w:p>
    <w:p w14:paraId="05C1ED5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（二）加强督查督办，确保履职尽责。</w:t>
      </w:r>
      <w:r>
        <w:rPr>
          <w:rFonts w:hint="eastAsia" w:ascii="仿宋" w:hAnsi="仿宋" w:eastAsia="仿宋" w:cs="仿宋"/>
          <w:color w:val="auto"/>
          <w:sz w:val="32"/>
          <w:szCs w:val="32"/>
        </w:rPr>
        <w:t>区政府把创建工作完成情况纳入各乡镇（街道）和区直相关部门年终目标考核的重要内容。区委督查考核办要加强督查，促进创建工作任务高效落实。督查结果将作为对各相关部门履行教育职责考核评价的重要内容。</w:t>
      </w:r>
    </w:p>
    <w:p w14:paraId="68D95D6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（三）加强舆论宣传，营造良好氛围。</w:t>
      </w:r>
      <w:r>
        <w:rPr>
          <w:rFonts w:hint="eastAsia" w:ascii="仿宋" w:hAnsi="仿宋" w:eastAsia="仿宋" w:cs="仿宋"/>
          <w:color w:val="auto"/>
          <w:sz w:val="32"/>
          <w:szCs w:val="32"/>
        </w:rPr>
        <w:t>充分发挥新闻舆论的正面导向作用，广泛宣传义务教育优质均衡发展的重大意义和主要内容，进一步提高公众对教育工作的认可度，争取全社会对我区义务教育的支持，营造促进义务教育优质均衡发展的良好氛围。</w:t>
      </w:r>
    </w:p>
    <w:p w14:paraId="78C9FA0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p>
    <w:p w14:paraId="39977A6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p>
    <w:p w14:paraId="3AC1C59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附件：《江西省县域义务教育优质均衡发展督导评估指标及责任分工》</w:t>
      </w:r>
    </w:p>
    <w:p w14:paraId="1CC1F670">
      <w:pPr>
        <w:keepNext w:val="0"/>
        <w:keepLines w:val="0"/>
        <w:pageBreakBefore w:val="0"/>
        <w:kinsoku/>
        <w:wordWrap/>
        <w:overflowPunct/>
        <w:topLinePunct w:val="0"/>
        <w:autoSpaceDE/>
        <w:autoSpaceDN/>
        <w:bidi w:val="0"/>
        <w:adjustRightInd/>
        <w:snapToGrid/>
        <w:spacing w:line="640" w:lineRule="exact"/>
        <w:ind w:firstLine="420" w:firstLineChars="200"/>
        <w:textAlignment w:val="auto"/>
        <w:rPr>
          <w:rFonts w:hint="eastAsia" w:asciiTheme="minorHAnsi" w:hAnsiTheme="minorHAnsi" w:eastAsiaTheme="minorEastAsia" w:cstheme="minorBidi"/>
          <w:kern w:val="2"/>
          <w:sz w:val="21"/>
          <w:szCs w:val="24"/>
          <w:lang w:val="en-US" w:eastAsia="zh-CN" w:bidi="ar-SA"/>
        </w:rPr>
      </w:pPr>
    </w:p>
    <w:p w14:paraId="746B4874">
      <w:pPr>
        <w:bidi w:val="0"/>
        <w:rPr>
          <w:rFonts w:hint="eastAsia"/>
          <w:lang w:val="en-US" w:eastAsia="zh-CN"/>
        </w:rPr>
      </w:pPr>
    </w:p>
    <w:p w14:paraId="7F32757B">
      <w:pPr>
        <w:bidi w:val="0"/>
        <w:rPr>
          <w:rFonts w:hint="eastAsia"/>
          <w:lang w:val="en-US" w:eastAsia="zh-CN"/>
        </w:rPr>
      </w:pPr>
    </w:p>
    <w:p w14:paraId="4E67DC0C">
      <w:pPr>
        <w:bidi w:val="0"/>
        <w:rPr>
          <w:rFonts w:hint="eastAsia"/>
          <w:lang w:val="en-US" w:eastAsia="zh-CN"/>
        </w:rPr>
      </w:pPr>
    </w:p>
    <w:p w14:paraId="2461537E">
      <w:pPr>
        <w:bidi w:val="0"/>
        <w:rPr>
          <w:rFonts w:hint="eastAsia"/>
          <w:lang w:val="en-US" w:eastAsia="zh-CN"/>
        </w:rPr>
      </w:pPr>
    </w:p>
    <w:p w14:paraId="5B5D1A26">
      <w:pPr>
        <w:bidi w:val="0"/>
        <w:rPr>
          <w:rFonts w:hint="eastAsia"/>
          <w:lang w:val="en-US" w:eastAsia="zh-CN"/>
        </w:rPr>
      </w:pPr>
    </w:p>
    <w:p w14:paraId="7C112A70">
      <w:pPr>
        <w:bidi w:val="0"/>
        <w:rPr>
          <w:rFonts w:hint="eastAsia"/>
          <w:lang w:val="en-US" w:eastAsia="zh-CN"/>
        </w:rPr>
      </w:pPr>
    </w:p>
    <w:p w14:paraId="788F15BE">
      <w:pPr>
        <w:bidi w:val="0"/>
        <w:rPr>
          <w:rFonts w:hint="eastAsia"/>
          <w:lang w:val="en-US" w:eastAsia="zh-CN"/>
        </w:rPr>
      </w:pPr>
    </w:p>
    <w:p w14:paraId="665D9D05">
      <w:pPr>
        <w:bidi w:val="0"/>
        <w:rPr>
          <w:rFonts w:hint="eastAsia"/>
          <w:lang w:val="en-US" w:eastAsia="zh-CN"/>
        </w:rPr>
      </w:pPr>
    </w:p>
    <w:p w14:paraId="51B3FE5F">
      <w:pPr>
        <w:bidi w:val="0"/>
        <w:rPr>
          <w:rFonts w:hint="eastAsia"/>
          <w:lang w:val="en-US" w:eastAsia="zh-CN"/>
        </w:rPr>
      </w:pPr>
    </w:p>
    <w:p w14:paraId="48D5DED0">
      <w:pPr>
        <w:bidi w:val="0"/>
        <w:rPr>
          <w:rFonts w:hint="eastAsia"/>
          <w:lang w:val="en-US" w:eastAsia="zh-CN"/>
        </w:rPr>
      </w:pPr>
    </w:p>
    <w:p w14:paraId="2E3B6ECD">
      <w:pPr>
        <w:bidi w:val="0"/>
        <w:rPr>
          <w:rFonts w:hint="eastAsia"/>
          <w:lang w:val="en-US" w:eastAsia="zh-CN"/>
        </w:rPr>
      </w:pPr>
    </w:p>
    <w:p w14:paraId="2DEC9212">
      <w:pPr>
        <w:tabs>
          <w:tab w:val="left" w:pos="639"/>
        </w:tabs>
        <w:bidi w:val="0"/>
        <w:jc w:val="left"/>
        <w:rPr>
          <w:rFonts w:hint="eastAsia"/>
          <w:lang w:val="en-US" w:eastAsia="zh-CN"/>
        </w:rPr>
        <w:sectPr>
          <w:headerReference r:id="rId3" w:type="default"/>
          <w:footerReference r:id="rId5" w:type="default"/>
          <w:headerReference r:id="rId4" w:type="even"/>
          <w:footerReference r:id="rId6" w:type="even"/>
          <w:pgSz w:w="11906" w:h="16838"/>
          <w:pgMar w:top="2098" w:right="1474" w:bottom="1984" w:left="1587" w:header="0" w:footer="1587" w:gutter="0"/>
          <w:pgNumType w:fmt="decimal"/>
          <w:cols w:space="0" w:num="1"/>
          <w:rtlGutter w:val="0"/>
          <w:docGrid w:type="lines" w:linePitch="312" w:charSpace="0"/>
        </w:sectPr>
      </w:pPr>
      <w:r>
        <w:rPr>
          <w:rFonts w:hint="eastAsia"/>
          <w:lang w:val="en-US" w:eastAsia="zh-CN"/>
        </w:rPr>
        <w:tab/>
      </w:r>
    </w:p>
    <w:p w14:paraId="1A47A23D">
      <w:pPr>
        <w:pStyle w:val="3"/>
        <w:spacing w:before="98" w:line="210" w:lineRule="auto"/>
        <w:rPr>
          <w:sz w:val="30"/>
          <w:szCs w:val="30"/>
        </w:rPr>
      </w:pPr>
      <w:r>
        <w:rPr>
          <w:color w:val="333333"/>
          <w:spacing w:val="-26"/>
          <w:sz w:val="30"/>
          <w:szCs w:val="30"/>
        </w:rPr>
        <w:t>附件</w:t>
      </w:r>
    </w:p>
    <w:p w14:paraId="2FB5E7A6">
      <w:pPr>
        <w:spacing w:line="213" w:lineRule="auto"/>
        <w:jc w:val="center"/>
        <w:rPr>
          <w:rFonts w:ascii="微软雅黑" w:hAnsi="微软雅黑" w:eastAsia="微软雅黑" w:cs="微软雅黑"/>
          <w:sz w:val="43"/>
          <w:szCs w:val="43"/>
        </w:rPr>
      </w:pPr>
      <w:r>
        <w:rPr>
          <w:rFonts w:ascii="微软雅黑" w:hAnsi="微软雅黑" w:eastAsia="微软雅黑" w:cs="微软雅黑"/>
          <w:color w:val="333333"/>
          <w:spacing w:val="9"/>
          <w:sz w:val="43"/>
          <w:szCs w:val="43"/>
        </w:rPr>
        <w:t>江西省县域义务教育优质均衡发展督导评估指标及责任分工</w:t>
      </w:r>
    </w:p>
    <w:tbl>
      <w:tblPr>
        <w:tblStyle w:val="6"/>
        <w:tblW w:w="14708" w:type="dxa"/>
        <w:tblInd w:w="0" w:type="dxa"/>
        <w:tblLayout w:type="fixed"/>
        <w:tblCellMar>
          <w:top w:w="0" w:type="dxa"/>
          <w:left w:w="108" w:type="dxa"/>
          <w:bottom w:w="0" w:type="dxa"/>
          <w:right w:w="108" w:type="dxa"/>
        </w:tblCellMar>
      </w:tblPr>
      <w:tblGrid>
        <w:gridCol w:w="789"/>
        <w:gridCol w:w="2513"/>
        <w:gridCol w:w="8459"/>
        <w:gridCol w:w="721"/>
        <w:gridCol w:w="2226"/>
      </w:tblGrid>
      <w:tr w14:paraId="64515972">
        <w:tblPrEx>
          <w:tblCellMar>
            <w:top w:w="0" w:type="dxa"/>
            <w:left w:w="108" w:type="dxa"/>
            <w:bottom w:w="0" w:type="dxa"/>
            <w:right w:w="108" w:type="dxa"/>
          </w:tblCellMar>
        </w:tblPrEx>
        <w:trPr>
          <w:trHeight w:val="717"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6B8EDD29">
            <w:pPr>
              <w:widowControl/>
              <w:jc w:val="center"/>
              <w:rPr>
                <w:rFonts w:hint="eastAsia" w:ascii="黑体" w:hAnsi="黑体" w:eastAsia="黑体" w:cs="楷体"/>
                <w:bCs/>
                <w:kern w:val="0"/>
                <w:sz w:val="24"/>
              </w:rPr>
            </w:pPr>
            <w:r>
              <w:rPr>
                <w:rFonts w:hint="eastAsia" w:ascii="黑体" w:hAnsi="黑体" w:eastAsia="黑体" w:cs="楷体"/>
                <w:bCs/>
                <w:kern w:val="0"/>
                <w:sz w:val="24"/>
              </w:rPr>
              <w:t>指标</w:t>
            </w:r>
          </w:p>
          <w:p w14:paraId="27FE8613">
            <w:pPr>
              <w:widowControl/>
              <w:jc w:val="center"/>
              <w:rPr>
                <w:rFonts w:ascii="黑体" w:hAnsi="黑体" w:eastAsia="黑体" w:cs="楷体"/>
                <w:bCs/>
                <w:kern w:val="0"/>
                <w:sz w:val="24"/>
              </w:rPr>
            </w:pPr>
            <w:r>
              <w:rPr>
                <w:rFonts w:hint="eastAsia" w:ascii="黑体" w:hAnsi="黑体" w:eastAsia="黑体" w:cs="楷体"/>
                <w:bCs/>
                <w:kern w:val="0"/>
                <w:sz w:val="24"/>
              </w:rPr>
              <w:t>类别</w:t>
            </w: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18B1897">
            <w:pPr>
              <w:widowControl/>
              <w:jc w:val="center"/>
              <w:rPr>
                <w:rFonts w:ascii="黑体" w:hAnsi="黑体" w:eastAsia="黑体" w:cs="楷体"/>
                <w:bCs/>
                <w:kern w:val="0"/>
                <w:sz w:val="24"/>
              </w:rPr>
            </w:pPr>
            <w:r>
              <w:rPr>
                <w:rFonts w:hint="eastAsia" w:ascii="黑体" w:hAnsi="黑体" w:eastAsia="黑体" w:cs="楷体"/>
                <w:bCs/>
                <w:kern w:val="0"/>
                <w:sz w:val="24"/>
              </w:rPr>
              <w:t>评估内容</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1C6FF3DF">
            <w:pPr>
              <w:widowControl/>
              <w:jc w:val="center"/>
              <w:rPr>
                <w:rFonts w:ascii="黑体" w:hAnsi="黑体" w:eastAsia="黑体" w:cs="楷体"/>
                <w:bCs/>
                <w:kern w:val="0"/>
                <w:sz w:val="24"/>
              </w:rPr>
            </w:pPr>
            <w:r>
              <w:rPr>
                <w:rFonts w:hint="eastAsia" w:ascii="黑体" w:hAnsi="黑体" w:eastAsia="黑体" w:cs="楷体"/>
                <w:bCs/>
                <w:kern w:val="0"/>
                <w:sz w:val="24"/>
              </w:rPr>
              <w:t>评估要点</w:t>
            </w:r>
          </w:p>
        </w:tc>
        <w:tc>
          <w:tcPr>
            <w:tcW w:w="721" w:type="dxa"/>
            <w:tcBorders>
              <w:top w:val="single" w:color="auto" w:sz="4" w:space="0"/>
              <w:left w:val="single" w:color="auto" w:sz="4" w:space="0"/>
              <w:bottom w:val="single" w:color="000000" w:sz="4" w:space="0"/>
              <w:right w:val="single" w:color="auto" w:sz="4" w:space="0"/>
            </w:tcBorders>
            <w:noWrap w:val="0"/>
            <w:vAlign w:val="center"/>
          </w:tcPr>
          <w:p w14:paraId="3FEE34B0">
            <w:pPr>
              <w:widowControl/>
              <w:jc w:val="center"/>
              <w:rPr>
                <w:rFonts w:hint="eastAsia" w:ascii="黑体" w:hAnsi="黑体" w:eastAsia="黑体" w:cs="楷体"/>
                <w:bCs/>
                <w:kern w:val="0"/>
                <w:sz w:val="24"/>
              </w:rPr>
            </w:pPr>
            <w:r>
              <w:rPr>
                <w:rFonts w:hint="eastAsia" w:ascii="黑体" w:hAnsi="黑体" w:eastAsia="黑体" w:cs="楷体"/>
                <w:bCs/>
                <w:kern w:val="0"/>
                <w:sz w:val="24"/>
              </w:rPr>
              <w:t>指标</w:t>
            </w:r>
          </w:p>
          <w:p w14:paraId="36CD6594">
            <w:pPr>
              <w:widowControl/>
              <w:jc w:val="center"/>
              <w:rPr>
                <w:rFonts w:ascii="黑体" w:hAnsi="黑体" w:eastAsia="黑体" w:cs="楷体"/>
                <w:bCs/>
                <w:kern w:val="0"/>
                <w:sz w:val="24"/>
              </w:rPr>
            </w:pPr>
            <w:r>
              <w:rPr>
                <w:rFonts w:hint="eastAsia" w:ascii="黑体" w:hAnsi="黑体" w:eastAsia="黑体" w:cs="楷体"/>
                <w:bCs/>
                <w:kern w:val="0"/>
                <w:sz w:val="24"/>
              </w:rPr>
              <w:t>性质</w:t>
            </w:r>
          </w:p>
        </w:tc>
        <w:tc>
          <w:tcPr>
            <w:tcW w:w="2226" w:type="dxa"/>
            <w:tcBorders>
              <w:top w:val="single" w:color="auto" w:sz="4" w:space="0"/>
              <w:left w:val="single" w:color="auto" w:sz="4" w:space="0"/>
              <w:right w:val="single" w:color="auto" w:sz="4" w:space="0"/>
            </w:tcBorders>
            <w:noWrap w:val="0"/>
            <w:vAlign w:val="center"/>
          </w:tcPr>
          <w:p w14:paraId="016449E9">
            <w:pPr>
              <w:widowControl/>
              <w:jc w:val="center"/>
              <w:rPr>
                <w:rFonts w:hint="eastAsia" w:ascii="黑体" w:hAnsi="黑体" w:eastAsia="黑体" w:cs="楷体"/>
                <w:bCs/>
                <w:kern w:val="0"/>
                <w:sz w:val="24"/>
                <w:lang w:eastAsia="zh-CN"/>
              </w:rPr>
            </w:pPr>
            <w:r>
              <w:rPr>
                <w:rFonts w:hint="eastAsia" w:ascii="黑体" w:hAnsi="黑体" w:eastAsia="黑体" w:cs="楷体"/>
                <w:bCs/>
                <w:kern w:val="0"/>
                <w:sz w:val="24"/>
              </w:rPr>
              <w:t>责任</w:t>
            </w:r>
            <w:r>
              <w:rPr>
                <w:rFonts w:hint="eastAsia" w:ascii="黑体" w:hAnsi="黑体" w:eastAsia="黑体" w:cs="楷体"/>
                <w:bCs/>
                <w:kern w:val="0"/>
                <w:sz w:val="24"/>
                <w:lang w:val="en-US" w:eastAsia="zh-CN"/>
              </w:rPr>
              <w:t>单位</w:t>
            </w:r>
          </w:p>
        </w:tc>
      </w:tr>
      <w:tr w14:paraId="03F79917">
        <w:tblPrEx>
          <w:tblCellMar>
            <w:top w:w="0" w:type="dxa"/>
            <w:left w:w="108" w:type="dxa"/>
            <w:bottom w:w="0" w:type="dxa"/>
            <w:right w:w="108" w:type="dxa"/>
          </w:tblCellMar>
        </w:tblPrEx>
        <w:trPr>
          <w:trHeight w:val="999" w:hRule="atLeast"/>
        </w:trPr>
        <w:tc>
          <w:tcPr>
            <w:tcW w:w="789" w:type="dxa"/>
            <w:vMerge w:val="restart"/>
            <w:tcBorders>
              <w:top w:val="single" w:color="auto" w:sz="4" w:space="0"/>
              <w:left w:val="single" w:color="auto" w:sz="4" w:space="0"/>
              <w:right w:val="single" w:color="auto" w:sz="4" w:space="0"/>
            </w:tcBorders>
            <w:noWrap w:val="0"/>
            <w:vAlign w:val="center"/>
          </w:tcPr>
          <w:p w14:paraId="38C80825">
            <w:pPr>
              <w:widowControl/>
              <w:jc w:val="center"/>
              <w:rPr>
                <w:rFonts w:hint="eastAsia" w:ascii="仿宋" w:hAnsi="仿宋" w:eastAsia="仿宋" w:cs="仿宋"/>
                <w:b/>
                <w:bCs/>
                <w:kern w:val="0"/>
                <w:sz w:val="24"/>
              </w:rPr>
            </w:pPr>
            <w:r>
              <w:rPr>
                <w:rFonts w:hint="eastAsia" w:ascii="仿宋" w:hAnsi="仿宋" w:eastAsia="仿宋" w:cs="仿宋"/>
                <w:b/>
                <w:bCs/>
                <w:kern w:val="0"/>
                <w:sz w:val="24"/>
              </w:rPr>
              <w:t>资</w:t>
            </w:r>
          </w:p>
          <w:p w14:paraId="7E3D9715">
            <w:pPr>
              <w:widowControl/>
              <w:jc w:val="center"/>
              <w:rPr>
                <w:rFonts w:hint="eastAsia" w:ascii="仿宋" w:hAnsi="仿宋" w:eastAsia="仿宋" w:cs="仿宋"/>
                <w:b/>
                <w:bCs/>
                <w:kern w:val="0"/>
                <w:sz w:val="24"/>
              </w:rPr>
            </w:pPr>
            <w:r>
              <w:rPr>
                <w:rFonts w:hint="eastAsia" w:ascii="仿宋" w:hAnsi="仿宋" w:eastAsia="仿宋" w:cs="仿宋"/>
                <w:b/>
                <w:bCs/>
                <w:kern w:val="0"/>
                <w:sz w:val="24"/>
              </w:rPr>
              <w:t>源</w:t>
            </w:r>
          </w:p>
          <w:p w14:paraId="7D96BF3D">
            <w:pPr>
              <w:widowControl/>
              <w:jc w:val="center"/>
              <w:rPr>
                <w:rFonts w:hint="eastAsia" w:ascii="仿宋" w:hAnsi="仿宋" w:eastAsia="仿宋" w:cs="仿宋"/>
                <w:b/>
                <w:bCs/>
                <w:kern w:val="0"/>
                <w:sz w:val="24"/>
              </w:rPr>
            </w:pPr>
            <w:r>
              <w:rPr>
                <w:rFonts w:hint="eastAsia" w:ascii="仿宋" w:hAnsi="仿宋" w:eastAsia="仿宋" w:cs="仿宋"/>
                <w:b/>
                <w:bCs/>
                <w:kern w:val="0"/>
                <w:sz w:val="24"/>
              </w:rPr>
              <w:t>配</w:t>
            </w:r>
          </w:p>
          <w:p w14:paraId="4DC35EDD">
            <w:pPr>
              <w:widowControl/>
              <w:jc w:val="center"/>
              <w:rPr>
                <w:rFonts w:hint="eastAsia" w:ascii="仿宋" w:hAnsi="仿宋" w:eastAsia="仿宋" w:cs="仿宋"/>
                <w:kern w:val="0"/>
                <w:sz w:val="24"/>
              </w:rPr>
            </w:pPr>
            <w:r>
              <w:rPr>
                <w:rFonts w:hint="eastAsia" w:ascii="仿宋" w:hAnsi="仿宋" w:eastAsia="仿宋" w:cs="仿宋"/>
                <w:b/>
                <w:bCs/>
                <w:kern w:val="0"/>
                <w:sz w:val="24"/>
              </w:rPr>
              <w:t>置</w:t>
            </w:r>
          </w:p>
        </w:tc>
        <w:tc>
          <w:tcPr>
            <w:tcW w:w="2513" w:type="dxa"/>
            <w:tcBorders>
              <w:top w:val="single" w:color="auto" w:sz="4" w:space="0"/>
              <w:left w:val="single" w:color="auto" w:sz="4" w:space="0"/>
              <w:bottom w:val="single" w:color="auto" w:sz="4" w:space="0"/>
              <w:right w:val="single" w:color="auto" w:sz="4" w:space="0"/>
            </w:tcBorders>
            <w:noWrap w:val="0"/>
            <w:vAlign w:val="center"/>
          </w:tcPr>
          <w:p w14:paraId="7C708F3B">
            <w:pPr>
              <w:widowControl/>
              <w:spacing w:line="300" w:lineRule="exact"/>
              <w:rPr>
                <w:rFonts w:hint="eastAsia" w:ascii="仿宋" w:hAnsi="仿宋" w:eastAsia="仿宋" w:cs="仿宋"/>
                <w:kern w:val="0"/>
                <w:sz w:val="24"/>
              </w:rPr>
            </w:pPr>
            <w:r>
              <w:rPr>
                <w:rFonts w:hint="eastAsia" w:ascii="仿宋" w:hAnsi="仿宋" w:eastAsia="仿宋" w:cs="仿宋"/>
                <w:kern w:val="0"/>
                <w:sz w:val="24"/>
              </w:rPr>
              <w:t>1.教师高于规定学历</w:t>
            </w:r>
          </w:p>
          <w:p w14:paraId="269D8F6D">
            <w:pPr>
              <w:widowControl/>
              <w:spacing w:line="300" w:lineRule="exact"/>
              <w:rPr>
                <w:rFonts w:hint="eastAsia" w:ascii="仿宋" w:hAnsi="仿宋" w:eastAsia="仿宋" w:cs="仿宋"/>
                <w:kern w:val="0"/>
                <w:sz w:val="24"/>
              </w:rPr>
            </w:pPr>
            <w:r>
              <w:rPr>
                <w:rFonts w:hint="eastAsia" w:ascii="仿宋" w:hAnsi="仿宋" w:eastAsia="仿宋" w:cs="仿宋"/>
                <w:kern w:val="0"/>
                <w:sz w:val="24"/>
              </w:rPr>
              <w:t>人数</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0C946692">
            <w:pPr>
              <w:widowControl/>
              <w:spacing w:line="300" w:lineRule="exact"/>
              <w:rPr>
                <w:rFonts w:hint="eastAsia" w:ascii="仿宋" w:hAnsi="仿宋" w:eastAsia="仿宋" w:cs="仿宋"/>
                <w:kern w:val="0"/>
                <w:sz w:val="24"/>
              </w:rPr>
            </w:pPr>
            <w:r>
              <w:rPr>
                <w:rFonts w:hint="eastAsia" w:ascii="仿宋" w:hAnsi="仿宋" w:eastAsia="仿宋" w:cs="仿宋"/>
                <w:kern w:val="0"/>
                <w:sz w:val="24"/>
              </w:rPr>
              <w:t>1.所有小学每百名学生拥有大专及以上学历教师4.2人以上；</w:t>
            </w:r>
          </w:p>
          <w:p w14:paraId="3E7EF87D">
            <w:pPr>
              <w:widowControl/>
              <w:spacing w:line="300" w:lineRule="exact"/>
              <w:rPr>
                <w:rFonts w:hint="eastAsia" w:ascii="仿宋" w:hAnsi="仿宋" w:eastAsia="仿宋" w:cs="仿宋"/>
                <w:kern w:val="0"/>
                <w:sz w:val="24"/>
              </w:rPr>
            </w:pPr>
            <w:r>
              <w:rPr>
                <w:rFonts w:hint="eastAsia" w:ascii="仿宋" w:hAnsi="仿宋" w:eastAsia="仿宋" w:cs="仿宋"/>
                <w:kern w:val="0"/>
                <w:sz w:val="24"/>
              </w:rPr>
              <w:t>2.所有初中每百名学生拥有本科以上学历教师5.3人以上；</w:t>
            </w:r>
          </w:p>
          <w:p w14:paraId="462886D4">
            <w:pPr>
              <w:widowControl/>
              <w:spacing w:line="30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2DF8EE6">
            <w:pPr>
              <w:widowControl/>
              <w:spacing w:line="26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1FB94E23">
            <w:pPr>
              <w:widowControl/>
              <w:spacing w:line="26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5AA45BBB">
        <w:tblPrEx>
          <w:tblCellMar>
            <w:top w:w="0" w:type="dxa"/>
            <w:left w:w="108" w:type="dxa"/>
            <w:bottom w:w="0" w:type="dxa"/>
            <w:right w:w="108" w:type="dxa"/>
          </w:tblCellMar>
        </w:tblPrEx>
        <w:trPr>
          <w:trHeight w:val="979" w:hRule="atLeast"/>
        </w:trPr>
        <w:tc>
          <w:tcPr>
            <w:tcW w:w="789" w:type="dxa"/>
            <w:vMerge w:val="continue"/>
            <w:tcBorders>
              <w:left w:val="single" w:color="auto" w:sz="4" w:space="0"/>
              <w:right w:val="single" w:color="auto" w:sz="4" w:space="0"/>
            </w:tcBorders>
            <w:noWrap w:val="0"/>
            <w:vAlign w:val="center"/>
          </w:tcPr>
          <w:p w14:paraId="5ACF7473">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66412F7B">
            <w:pPr>
              <w:widowControl/>
              <w:spacing w:line="300" w:lineRule="exact"/>
              <w:rPr>
                <w:rFonts w:hint="eastAsia" w:ascii="仿宋" w:hAnsi="仿宋" w:eastAsia="仿宋" w:cs="仿宋"/>
                <w:kern w:val="0"/>
                <w:sz w:val="24"/>
              </w:rPr>
            </w:pPr>
            <w:r>
              <w:rPr>
                <w:rFonts w:hint="eastAsia" w:ascii="仿宋" w:hAnsi="仿宋" w:eastAsia="仿宋" w:cs="仿宋"/>
                <w:kern w:val="0"/>
                <w:sz w:val="24"/>
              </w:rPr>
              <w:t>2.县级以上骨干教师数</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6555D0FF">
            <w:pPr>
              <w:widowControl/>
              <w:spacing w:line="300" w:lineRule="exact"/>
              <w:rPr>
                <w:rFonts w:hint="eastAsia" w:ascii="仿宋" w:hAnsi="仿宋" w:eastAsia="仿宋" w:cs="仿宋"/>
                <w:kern w:val="0"/>
                <w:sz w:val="24"/>
              </w:rPr>
            </w:pPr>
            <w:r>
              <w:rPr>
                <w:rFonts w:hint="eastAsia" w:ascii="仿宋" w:hAnsi="仿宋" w:eastAsia="仿宋" w:cs="仿宋"/>
                <w:kern w:val="0"/>
                <w:sz w:val="24"/>
              </w:rPr>
              <w:t>1.所有小学每百名学生拥有县级以上骨干教师1人以上；</w:t>
            </w:r>
          </w:p>
          <w:p w14:paraId="3319D6FD">
            <w:pPr>
              <w:widowControl/>
              <w:spacing w:line="300" w:lineRule="exact"/>
              <w:rPr>
                <w:rFonts w:hint="eastAsia" w:ascii="仿宋" w:hAnsi="仿宋" w:eastAsia="仿宋" w:cs="仿宋"/>
                <w:kern w:val="0"/>
                <w:sz w:val="24"/>
              </w:rPr>
            </w:pPr>
            <w:r>
              <w:rPr>
                <w:rFonts w:hint="eastAsia" w:ascii="仿宋" w:hAnsi="仿宋" w:eastAsia="仿宋" w:cs="仿宋"/>
                <w:kern w:val="0"/>
                <w:sz w:val="24"/>
              </w:rPr>
              <w:t>2.所有初中每百名学生拥有县级以上骨干教师1人以上；</w:t>
            </w:r>
          </w:p>
          <w:p w14:paraId="787A276F">
            <w:pPr>
              <w:widowControl/>
              <w:spacing w:line="30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B693D0A">
            <w:pPr>
              <w:widowControl/>
              <w:spacing w:line="26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84BCE99">
            <w:pPr>
              <w:widowControl/>
              <w:spacing w:line="26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60FB3EC0">
        <w:tblPrEx>
          <w:tblCellMar>
            <w:top w:w="0" w:type="dxa"/>
            <w:left w:w="108" w:type="dxa"/>
            <w:bottom w:w="0" w:type="dxa"/>
            <w:right w:w="108" w:type="dxa"/>
          </w:tblCellMar>
        </w:tblPrEx>
        <w:trPr>
          <w:trHeight w:val="978" w:hRule="atLeast"/>
        </w:trPr>
        <w:tc>
          <w:tcPr>
            <w:tcW w:w="789" w:type="dxa"/>
            <w:vMerge w:val="continue"/>
            <w:tcBorders>
              <w:left w:val="single" w:color="auto" w:sz="4" w:space="0"/>
              <w:right w:val="single" w:color="auto" w:sz="4" w:space="0"/>
            </w:tcBorders>
            <w:noWrap w:val="0"/>
            <w:vAlign w:val="center"/>
          </w:tcPr>
          <w:p w14:paraId="7A4D35FF">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9ED7693">
            <w:pPr>
              <w:widowControl/>
              <w:spacing w:line="300" w:lineRule="exact"/>
              <w:rPr>
                <w:rFonts w:hint="eastAsia" w:ascii="仿宋" w:hAnsi="仿宋" w:eastAsia="仿宋" w:cs="仿宋"/>
                <w:kern w:val="0"/>
                <w:sz w:val="24"/>
              </w:rPr>
            </w:pPr>
            <w:r>
              <w:rPr>
                <w:rFonts w:hint="eastAsia" w:ascii="仿宋" w:hAnsi="仿宋" w:eastAsia="仿宋" w:cs="仿宋"/>
                <w:kern w:val="0"/>
                <w:sz w:val="24"/>
              </w:rPr>
              <w:t>3.体育、艺术（美术、音乐）专任教师数</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6F7C2329">
            <w:pPr>
              <w:widowControl/>
              <w:spacing w:line="300" w:lineRule="exact"/>
              <w:rPr>
                <w:rFonts w:hint="eastAsia" w:ascii="仿宋" w:hAnsi="仿宋" w:eastAsia="仿宋" w:cs="仿宋"/>
                <w:kern w:val="0"/>
                <w:sz w:val="24"/>
              </w:rPr>
            </w:pPr>
            <w:r>
              <w:rPr>
                <w:rFonts w:hint="eastAsia" w:ascii="仿宋" w:hAnsi="仿宋" w:eastAsia="仿宋" w:cs="仿宋"/>
                <w:kern w:val="0"/>
                <w:sz w:val="24"/>
              </w:rPr>
              <w:t>1.所有小学每百名学生拥有体育、艺术（美术、音乐）专任教师0.9人以上；</w:t>
            </w:r>
          </w:p>
          <w:p w14:paraId="5D93DB91">
            <w:pPr>
              <w:widowControl/>
              <w:spacing w:line="300" w:lineRule="exact"/>
              <w:rPr>
                <w:rFonts w:hint="eastAsia" w:ascii="仿宋" w:hAnsi="仿宋" w:eastAsia="仿宋" w:cs="仿宋"/>
                <w:kern w:val="0"/>
                <w:sz w:val="24"/>
              </w:rPr>
            </w:pPr>
            <w:r>
              <w:rPr>
                <w:rFonts w:hint="eastAsia" w:ascii="仿宋" w:hAnsi="仿宋" w:eastAsia="仿宋" w:cs="仿宋"/>
                <w:kern w:val="0"/>
                <w:sz w:val="24"/>
              </w:rPr>
              <w:t>2.所有初中每百名学生拥有体育、艺术（美术、音乐）专任教师0.9人以上；</w:t>
            </w:r>
          </w:p>
          <w:p w14:paraId="1F685799">
            <w:pPr>
              <w:widowControl/>
              <w:spacing w:line="30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7746807">
            <w:pPr>
              <w:widowControl/>
              <w:spacing w:line="26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0257D5FA">
            <w:pPr>
              <w:widowControl/>
              <w:spacing w:line="26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48C34D0B">
        <w:tblPrEx>
          <w:tblCellMar>
            <w:top w:w="0" w:type="dxa"/>
            <w:left w:w="108" w:type="dxa"/>
            <w:bottom w:w="0" w:type="dxa"/>
            <w:right w:w="108" w:type="dxa"/>
          </w:tblCellMar>
        </w:tblPrEx>
        <w:trPr>
          <w:trHeight w:val="993" w:hRule="atLeast"/>
        </w:trPr>
        <w:tc>
          <w:tcPr>
            <w:tcW w:w="789" w:type="dxa"/>
            <w:vMerge w:val="continue"/>
            <w:tcBorders>
              <w:left w:val="single" w:color="auto" w:sz="4" w:space="0"/>
              <w:right w:val="single" w:color="auto" w:sz="4" w:space="0"/>
            </w:tcBorders>
            <w:noWrap w:val="0"/>
            <w:vAlign w:val="center"/>
          </w:tcPr>
          <w:p w14:paraId="2A0C1D17">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EE80B6D">
            <w:pPr>
              <w:widowControl/>
              <w:spacing w:line="300" w:lineRule="exact"/>
              <w:rPr>
                <w:rFonts w:hint="eastAsia" w:ascii="仿宋" w:hAnsi="仿宋" w:eastAsia="仿宋" w:cs="仿宋"/>
                <w:kern w:val="0"/>
                <w:sz w:val="24"/>
              </w:rPr>
            </w:pPr>
            <w:r>
              <w:rPr>
                <w:rFonts w:hint="eastAsia" w:ascii="仿宋" w:hAnsi="仿宋" w:eastAsia="仿宋" w:cs="仿宋"/>
                <w:kern w:val="0"/>
                <w:sz w:val="24"/>
              </w:rPr>
              <w:t>4.生均教学及辅助用</w:t>
            </w:r>
          </w:p>
          <w:p w14:paraId="7B53564D">
            <w:pPr>
              <w:widowControl/>
              <w:spacing w:line="300" w:lineRule="exact"/>
              <w:rPr>
                <w:rFonts w:hint="eastAsia" w:ascii="仿宋" w:hAnsi="仿宋" w:eastAsia="仿宋" w:cs="仿宋"/>
                <w:kern w:val="0"/>
                <w:sz w:val="24"/>
              </w:rPr>
            </w:pPr>
            <w:r>
              <w:rPr>
                <w:rFonts w:hint="eastAsia" w:ascii="仿宋" w:hAnsi="仿宋" w:eastAsia="仿宋" w:cs="仿宋"/>
                <w:kern w:val="0"/>
                <w:sz w:val="24"/>
              </w:rPr>
              <w:t>房面积</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5E16A294">
            <w:pPr>
              <w:widowControl/>
              <w:spacing w:line="300" w:lineRule="exact"/>
              <w:rPr>
                <w:rFonts w:hint="eastAsia" w:ascii="仿宋" w:hAnsi="仿宋" w:eastAsia="仿宋" w:cs="仿宋"/>
                <w:kern w:val="0"/>
                <w:sz w:val="24"/>
              </w:rPr>
            </w:pPr>
            <w:r>
              <w:rPr>
                <w:rFonts w:hint="eastAsia" w:ascii="仿宋" w:hAnsi="仿宋" w:eastAsia="仿宋" w:cs="仿宋"/>
                <w:kern w:val="0"/>
                <w:sz w:val="24"/>
              </w:rPr>
              <w:t>1.所有小学生均教学及辅助用房面积达到4.5平方米以上</w:t>
            </w:r>
            <w:r>
              <w:rPr>
                <w:rFonts w:hint="eastAsia" w:ascii="仿宋" w:hAnsi="仿宋" w:eastAsia="仿宋" w:cs="仿宋"/>
                <w:kern w:val="0"/>
                <w:sz w:val="24"/>
                <w:lang w:eastAsia="zh-CN"/>
              </w:rPr>
              <w:t>；</w:t>
            </w:r>
          </w:p>
          <w:p w14:paraId="3E9B8639">
            <w:pPr>
              <w:widowControl/>
              <w:spacing w:line="300" w:lineRule="exact"/>
              <w:rPr>
                <w:rFonts w:hint="eastAsia" w:ascii="仿宋" w:hAnsi="仿宋" w:eastAsia="仿宋" w:cs="仿宋"/>
                <w:kern w:val="0"/>
                <w:sz w:val="24"/>
              </w:rPr>
            </w:pPr>
            <w:r>
              <w:rPr>
                <w:rFonts w:hint="eastAsia" w:ascii="仿宋" w:hAnsi="仿宋" w:eastAsia="仿宋" w:cs="仿宋"/>
                <w:kern w:val="0"/>
                <w:sz w:val="24"/>
              </w:rPr>
              <w:t>2.所有初中生均教学及辅助用房面积达到5.8平方米以上；</w:t>
            </w:r>
          </w:p>
          <w:p w14:paraId="1812ABA5">
            <w:pPr>
              <w:widowControl/>
              <w:spacing w:line="30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8C19F7E">
            <w:pPr>
              <w:widowControl/>
              <w:spacing w:line="26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02AD3E32">
            <w:pPr>
              <w:widowControl/>
              <w:spacing w:line="26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区住建局、市自规局昌江分局、区教体局</w:t>
            </w:r>
          </w:p>
        </w:tc>
      </w:tr>
      <w:tr w14:paraId="61873AB6">
        <w:tblPrEx>
          <w:tblCellMar>
            <w:top w:w="0" w:type="dxa"/>
            <w:left w:w="108" w:type="dxa"/>
            <w:bottom w:w="0" w:type="dxa"/>
            <w:right w:w="108" w:type="dxa"/>
          </w:tblCellMar>
        </w:tblPrEx>
        <w:trPr>
          <w:trHeight w:val="1045" w:hRule="atLeast"/>
        </w:trPr>
        <w:tc>
          <w:tcPr>
            <w:tcW w:w="789" w:type="dxa"/>
            <w:vMerge w:val="continue"/>
            <w:tcBorders>
              <w:left w:val="single" w:color="auto" w:sz="4" w:space="0"/>
              <w:right w:val="single" w:color="auto" w:sz="4" w:space="0"/>
            </w:tcBorders>
            <w:noWrap w:val="0"/>
            <w:vAlign w:val="center"/>
          </w:tcPr>
          <w:p w14:paraId="7F379A5E">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D4F937C">
            <w:pPr>
              <w:widowControl/>
              <w:spacing w:line="300" w:lineRule="exact"/>
              <w:rPr>
                <w:rFonts w:hint="eastAsia" w:ascii="仿宋" w:hAnsi="仿宋" w:eastAsia="仿宋" w:cs="仿宋"/>
                <w:kern w:val="0"/>
                <w:sz w:val="24"/>
              </w:rPr>
            </w:pPr>
            <w:r>
              <w:rPr>
                <w:rFonts w:hint="eastAsia" w:ascii="仿宋" w:hAnsi="仿宋" w:eastAsia="仿宋" w:cs="仿宋"/>
                <w:kern w:val="0"/>
                <w:sz w:val="24"/>
              </w:rPr>
              <w:t>5.生均体育运动场馆</w:t>
            </w:r>
          </w:p>
          <w:p w14:paraId="098F4857">
            <w:pPr>
              <w:widowControl/>
              <w:spacing w:line="300" w:lineRule="exact"/>
              <w:rPr>
                <w:rFonts w:hint="eastAsia" w:ascii="仿宋" w:hAnsi="仿宋" w:eastAsia="仿宋" w:cs="仿宋"/>
                <w:kern w:val="0"/>
                <w:sz w:val="24"/>
              </w:rPr>
            </w:pPr>
            <w:r>
              <w:rPr>
                <w:rFonts w:hint="eastAsia" w:ascii="仿宋" w:hAnsi="仿宋" w:eastAsia="仿宋" w:cs="仿宋"/>
                <w:kern w:val="0"/>
                <w:sz w:val="24"/>
              </w:rPr>
              <w:t>面积</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21F9715C">
            <w:pPr>
              <w:widowControl/>
              <w:spacing w:line="300" w:lineRule="exact"/>
              <w:rPr>
                <w:rFonts w:hint="eastAsia" w:ascii="仿宋" w:hAnsi="仿宋" w:eastAsia="仿宋" w:cs="仿宋"/>
                <w:kern w:val="0"/>
                <w:sz w:val="24"/>
              </w:rPr>
            </w:pPr>
            <w:r>
              <w:rPr>
                <w:rFonts w:hint="eastAsia" w:ascii="仿宋" w:hAnsi="仿宋" w:eastAsia="仿宋" w:cs="仿宋"/>
                <w:kern w:val="0"/>
                <w:sz w:val="24"/>
              </w:rPr>
              <w:t>1.所有小学生均体育运动场馆面积达到7.5平方米以上；</w:t>
            </w:r>
          </w:p>
          <w:p w14:paraId="5303D07D">
            <w:pPr>
              <w:widowControl/>
              <w:spacing w:line="300" w:lineRule="exact"/>
              <w:rPr>
                <w:rFonts w:hint="eastAsia" w:ascii="仿宋" w:hAnsi="仿宋" w:eastAsia="仿宋" w:cs="仿宋"/>
                <w:kern w:val="0"/>
                <w:sz w:val="24"/>
              </w:rPr>
            </w:pPr>
            <w:r>
              <w:rPr>
                <w:rFonts w:hint="eastAsia" w:ascii="仿宋" w:hAnsi="仿宋" w:eastAsia="仿宋" w:cs="仿宋"/>
                <w:kern w:val="0"/>
                <w:sz w:val="24"/>
              </w:rPr>
              <w:t>2.所有初中生均体育运动场馆面积达到10.2平方米以上；</w:t>
            </w:r>
          </w:p>
          <w:p w14:paraId="5A2F0D5A">
            <w:pPr>
              <w:widowControl/>
              <w:spacing w:line="30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41503A9">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70E7C860">
            <w:pPr>
              <w:widowControl/>
              <w:spacing w:line="30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区住建局、市自规局昌江分局、区教体局</w:t>
            </w:r>
          </w:p>
        </w:tc>
      </w:tr>
      <w:tr w14:paraId="54C5DC3E">
        <w:tblPrEx>
          <w:tblCellMar>
            <w:top w:w="0" w:type="dxa"/>
            <w:left w:w="108" w:type="dxa"/>
            <w:bottom w:w="0" w:type="dxa"/>
            <w:right w:w="108" w:type="dxa"/>
          </w:tblCellMar>
        </w:tblPrEx>
        <w:trPr>
          <w:trHeight w:val="982" w:hRule="atLeast"/>
        </w:trPr>
        <w:tc>
          <w:tcPr>
            <w:tcW w:w="789" w:type="dxa"/>
            <w:vMerge w:val="continue"/>
            <w:tcBorders>
              <w:left w:val="single" w:color="auto" w:sz="4" w:space="0"/>
              <w:right w:val="single" w:color="auto" w:sz="4" w:space="0"/>
            </w:tcBorders>
            <w:noWrap w:val="0"/>
            <w:vAlign w:val="center"/>
          </w:tcPr>
          <w:p w14:paraId="2870C4E6">
            <w:pPr>
              <w:widowControl/>
              <w:spacing w:line="260" w:lineRule="exact"/>
              <w:jc w:val="center"/>
              <w:rPr>
                <w:rFonts w:hint="eastAsia" w:ascii="仿宋" w:hAnsi="仿宋" w:eastAsia="仿宋" w:cs="仿宋"/>
                <w:kern w:val="0"/>
                <w:sz w:val="32"/>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7C7550FC">
            <w:pPr>
              <w:widowControl/>
              <w:spacing w:line="300" w:lineRule="exact"/>
              <w:rPr>
                <w:rFonts w:hint="eastAsia" w:ascii="仿宋" w:hAnsi="仿宋" w:eastAsia="仿宋" w:cs="仿宋"/>
                <w:kern w:val="0"/>
                <w:sz w:val="24"/>
              </w:rPr>
            </w:pPr>
            <w:r>
              <w:rPr>
                <w:rFonts w:hint="eastAsia" w:ascii="仿宋" w:hAnsi="仿宋" w:eastAsia="仿宋" w:cs="仿宋"/>
                <w:kern w:val="0"/>
                <w:sz w:val="24"/>
              </w:rPr>
              <w:t>6.生均教学仪器设备值</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F2C30CD">
            <w:pPr>
              <w:widowControl/>
              <w:spacing w:line="340" w:lineRule="exact"/>
              <w:rPr>
                <w:rFonts w:hint="eastAsia" w:ascii="仿宋" w:hAnsi="仿宋" w:eastAsia="仿宋" w:cs="仿宋"/>
                <w:kern w:val="0"/>
                <w:sz w:val="24"/>
              </w:rPr>
            </w:pPr>
            <w:r>
              <w:rPr>
                <w:rFonts w:hint="eastAsia" w:ascii="仿宋" w:hAnsi="仿宋" w:eastAsia="仿宋" w:cs="仿宋"/>
                <w:kern w:val="0"/>
                <w:sz w:val="24"/>
              </w:rPr>
              <w:t>1.所有小学生均教学仪器设备值达到2000元以上；</w:t>
            </w:r>
          </w:p>
          <w:p w14:paraId="1F6FF212">
            <w:pPr>
              <w:widowControl/>
              <w:spacing w:line="340" w:lineRule="exact"/>
              <w:rPr>
                <w:rFonts w:hint="eastAsia" w:ascii="仿宋" w:hAnsi="仿宋" w:eastAsia="仿宋" w:cs="仿宋"/>
                <w:kern w:val="0"/>
                <w:sz w:val="24"/>
              </w:rPr>
            </w:pPr>
            <w:r>
              <w:rPr>
                <w:rFonts w:hint="eastAsia" w:ascii="仿宋" w:hAnsi="仿宋" w:eastAsia="仿宋" w:cs="仿宋"/>
                <w:kern w:val="0"/>
                <w:sz w:val="24"/>
              </w:rPr>
              <w:t>2.所有初中生均教学仪器设备值达到2500元以上；</w:t>
            </w:r>
          </w:p>
          <w:p w14:paraId="615F3E46">
            <w:pPr>
              <w:widowControl/>
              <w:spacing w:line="34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A02F218">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76F7835">
            <w:pPr>
              <w:widowControl/>
              <w:spacing w:line="30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区财政局、区教体局</w:t>
            </w:r>
          </w:p>
        </w:tc>
      </w:tr>
      <w:tr w14:paraId="2C91B4C2">
        <w:tblPrEx>
          <w:tblCellMar>
            <w:top w:w="0" w:type="dxa"/>
            <w:left w:w="108" w:type="dxa"/>
            <w:bottom w:w="0" w:type="dxa"/>
            <w:right w:w="108" w:type="dxa"/>
          </w:tblCellMar>
        </w:tblPrEx>
        <w:trPr>
          <w:trHeight w:val="699" w:hRule="atLeast"/>
        </w:trPr>
        <w:tc>
          <w:tcPr>
            <w:tcW w:w="789" w:type="dxa"/>
            <w:vMerge w:val="continue"/>
            <w:tcBorders>
              <w:left w:val="single" w:color="auto" w:sz="4" w:space="0"/>
              <w:bottom w:val="single" w:color="auto" w:sz="4" w:space="0"/>
              <w:right w:val="single" w:color="auto" w:sz="4" w:space="0"/>
            </w:tcBorders>
            <w:noWrap w:val="0"/>
            <w:vAlign w:val="center"/>
          </w:tcPr>
          <w:p w14:paraId="07E39C2E">
            <w:pPr>
              <w:widowControl/>
              <w:spacing w:line="260" w:lineRule="exact"/>
              <w:jc w:val="left"/>
              <w:rPr>
                <w:rFonts w:hint="eastAsia" w:ascii="仿宋" w:hAnsi="仿宋" w:eastAsia="仿宋" w:cs="仿宋"/>
                <w:kern w:val="0"/>
                <w:sz w:val="32"/>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0AF2922">
            <w:pPr>
              <w:widowControl/>
              <w:spacing w:line="300" w:lineRule="exact"/>
              <w:rPr>
                <w:rFonts w:hint="eastAsia" w:ascii="仿宋" w:hAnsi="仿宋" w:eastAsia="仿宋" w:cs="仿宋"/>
                <w:kern w:val="0"/>
                <w:sz w:val="24"/>
              </w:rPr>
            </w:pPr>
            <w:r>
              <w:rPr>
                <w:rFonts w:hint="eastAsia" w:ascii="仿宋" w:hAnsi="仿宋" w:eastAsia="仿宋" w:cs="仿宋"/>
                <w:kern w:val="0"/>
                <w:sz w:val="24"/>
              </w:rPr>
              <w:t>7.网络多媒体教室</w:t>
            </w:r>
            <w:r>
              <w:rPr>
                <w:rFonts w:hint="eastAsia" w:ascii="仿宋" w:hAnsi="仿宋" w:eastAsia="仿宋" w:cs="仿宋"/>
                <w:kern w:val="0"/>
                <w:sz w:val="24"/>
                <w:lang w:eastAsia="zh-CN"/>
              </w:rPr>
              <w:t>数据</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42931AA">
            <w:pPr>
              <w:widowControl/>
              <w:spacing w:line="340" w:lineRule="exact"/>
              <w:rPr>
                <w:rFonts w:hint="eastAsia" w:ascii="仿宋" w:hAnsi="仿宋" w:eastAsia="仿宋" w:cs="仿宋"/>
                <w:kern w:val="0"/>
                <w:sz w:val="24"/>
              </w:rPr>
            </w:pPr>
            <w:r>
              <w:rPr>
                <w:rFonts w:hint="eastAsia" w:ascii="仿宋" w:hAnsi="仿宋" w:eastAsia="仿宋" w:cs="仿宋"/>
                <w:kern w:val="0"/>
                <w:sz w:val="24"/>
              </w:rPr>
              <w:t>1.所有小学每百名学生拥有网络多媒体教室达到2.3间以上</w:t>
            </w:r>
            <w:r>
              <w:rPr>
                <w:rFonts w:hint="eastAsia" w:ascii="仿宋" w:hAnsi="仿宋" w:eastAsia="仿宋" w:cs="仿宋"/>
                <w:kern w:val="0"/>
                <w:sz w:val="24"/>
                <w:lang w:eastAsia="zh-CN"/>
              </w:rPr>
              <w:t>；</w:t>
            </w:r>
          </w:p>
          <w:p w14:paraId="5AAE9ED0">
            <w:pPr>
              <w:widowControl/>
              <w:spacing w:line="340" w:lineRule="exact"/>
              <w:rPr>
                <w:rFonts w:hint="eastAsia" w:ascii="仿宋" w:hAnsi="仿宋" w:eastAsia="仿宋" w:cs="仿宋"/>
                <w:kern w:val="0"/>
                <w:sz w:val="24"/>
              </w:rPr>
            </w:pPr>
            <w:r>
              <w:rPr>
                <w:rFonts w:hint="eastAsia" w:ascii="仿宋" w:hAnsi="仿宋" w:eastAsia="仿宋" w:cs="仿宋"/>
                <w:kern w:val="0"/>
                <w:sz w:val="24"/>
              </w:rPr>
              <w:t>2.所有初中每百名学生拥有网络多媒体教室达到2.4间以上；</w:t>
            </w:r>
          </w:p>
          <w:p w14:paraId="1BFE256B">
            <w:pPr>
              <w:widowControl/>
              <w:spacing w:line="34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94E81E4">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B72C543">
            <w:pPr>
              <w:widowControl/>
              <w:spacing w:line="30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区财政局、区教体局</w:t>
            </w:r>
          </w:p>
        </w:tc>
      </w:tr>
      <w:tr w14:paraId="3A67AC85">
        <w:tblPrEx>
          <w:tblCellMar>
            <w:top w:w="0" w:type="dxa"/>
            <w:left w:w="108" w:type="dxa"/>
            <w:bottom w:w="0" w:type="dxa"/>
            <w:right w:w="108" w:type="dxa"/>
          </w:tblCellMar>
        </w:tblPrEx>
        <w:trPr>
          <w:trHeight w:val="769" w:hRule="atLeast"/>
        </w:trPr>
        <w:tc>
          <w:tcPr>
            <w:tcW w:w="789" w:type="dxa"/>
            <w:vMerge w:val="restart"/>
            <w:tcBorders>
              <w:top w:val="single" w:color="auto" w:sz="4" w:space="0"/>
              <w:left w:val="single" w:color="auto" w:sz="4" w:space="0"/>
              <w:right w:val="single" w:color="auto" w:sz="4" w:space="0"/>
            </w:tcBorders>
            <w:noWrap w:val="0"/>
            <w:vAlign w:val="center"/>
          </w:tcPr>
          <w:p w14:paraId="732C8559">
            <w:pPr>
              <w:widowControl/>
              <w:jc w:val="center"/>
              <w:rPr>
                <w:rFonts w:hint="eastAsia" w:ascii="仿宋" w:hAnsi="仿宋" w:eastAsia="仿宋" w:cs="仿宋"/>
                <w:b/>
                <w:bCs/>
                <w:kern w:val="0"/>
                <w:sz w:val="24"/>
              </w:rPr>
            </w:pPr>
            <w:r>
              <w:rPr>
                <w:rFonts w:hint="eastAsia" w:ascii="仿宋" w:hAnsi="仿宋" w:eastAsia="仿宋" w:cs="仿宋"/>
                <w:b/>
                <w:bCs/>
                <w:kern w:val="0"/>
                <w:sz w:val="24"/>
              </w:rPr>
              <w:t>政府</w:t>
            </w:r>
          </w:p>
          <w:p w14:paraId="4B3D7A1A">
            <w:pPr>
              <w:widowControl/>
              <w:jc w:val="center"/>
              <w:rPr>
                <w:rFonts w:hint="eastAsia" w:ascii="仿宋" w:hAnsi="仿宋" w:eastAsia="仿宋" w:cs="仿宋"/>
                <w:b/>
                <w:bCs/>
                <w:kern w:val="0"/>
                <w:sz w:val="24"/>
              </w:rPr>
            </w:pPr>
            <w:r>
              <w:rPr>
                <w:rFonts w:hint="eastAsia" w:ascii="仿宋" w:hAnsi="仿宋" w:eastAsia="仿宋" w:cs="仿宋"/>
                <w:b/>
                <w:bCs/>
                <w:kern w:val="0"/>
                <w:sz w:val="24"/>
              </w:rPr>
              <w:t>保障</w:t>
            </w:r>
          </w:p>
          <w:p w14:paraId="55CB1597">
            <w:pPr>
              <w:widowControl/>
              <w:jc w:val="center"/>
              <w:rPr>
                <w:rFonts w:hint="eastAsia" w:ascii="仿宋" w:hAnsi="仿宋" w:eastAsia="仿宋" w:cs="仿宋"/>
                <w:kern w:val="0"/>
                <w:sz w:val="24"/>
              </w:rPr>
            </w:pPr>
            <w:r>
              <w:rPr>
                <w:rFonts w:hint="eastAsia" w:ascii="仿宋" w:hAnsi="仿宋" w:eastAsia="仿宋" w:cs="仿宋"/>
                <w:b/>
                <w:bCs/>
                <w:kern w:val="0"/>
                <w:sz w:val="24"/>
              </w:rPr>
              <w:t>程度</w:t>
            </w:r>
          </w:p>
        </w:tc>
        <w:tc>
          <w:tcPr>
            <w:tcW w:w="2513" w:type="dxa"/>
            <w:vMerge w:val="restart"/>
            <w:tcBorders>
              <w:top w:val="single" w:color="auto" w:sz="4" w:space="0"/>
              <w:left w:val="nil"/>
              <w:right w:val="single" w:color="auto" w:sz="4" w:space="0"/>
            </w:tcBorders>
            <w:noWrap w:val="0"/>
            <w:vAlign w:val="center"/>
          </w:tcPr>
          <w:p w14:paraId="1130A2BA">
            <w:pPr>
              <w:widowControl/>
              <w:spacing w:line="300" w:lineRule="exact"/>
              <w:rPr>
                <w:rFonts w:hint="eastAsia" w:ascii="仿宋" w:hAnsi="仿宋" w:eastAsia="仿宋" w:cs="仿宋"/>
                <w:kern w:val="0"/>
                <w:sz w:val="24"/>
              </w:rPr>
            </w:pPr>
            <w:r>
              <w:rPr>
                <w:rFonts w:hint="eastAsia" w:ascii="仿宋" w:hAnsi="仿宋" w:eastAsia="仿宋" w:cs="仿宋"/>
                <w:kern w:val="0"/>
                <w:sz w:val="24"/>
              </w:rPr>
              <w:t>8.保障教育优先发展</w:t>
            </w:r>
          </w:p>
        </w:tc>
        <w:tc>
          <w:tcPr>
            <w:tcW w:w="8459" w:type="dxa"/>
            <w:tcBorders>
              <w:top w:val="single" w:color="auto" w:sz="4" w:space="0"/>
              <w:left w:val="nil"/>
              <w:bottom w:val="single" w:color="auto" w:sz="4" w:space="0"/>
              <w:right w:val="single" w:color="auto" w:sz="4" w:space="0"/>
            </w:tcBorders>
            <w:noWrap w:val="0"/>
            <w:vAlign w:val="center"/>
          </w:tcPr>
          <w:p w14:paraId="592D3ADB">
            <w:pPr>
              <w:spacing w:line="340" w:lineRule="exact"/>
              <w:rPr>
                <w:rFonts w:hint="eastAsia" w:ascii="仿宋" w:hAnsi="仿宋" w:eastAsia="仿宋" w:cs="仿宋"/>
                <w:kern w:val="0"/>
                <w:sz w:val="24"/>
              </w:rPr>
            </w:pPr>
            <w:r>
              <w:rPr>
                <w:rFonts w:hint="eastAsia" w:ascii="仿宋" w:hAnsi="仿宋" w:eastAsia="仿宋" w:cs="仿宋"/>
                <w:kern w:val="0"/>
                <w:sz w:val="24"/>
              </w:rPr>
              <w:t>1.一般公共预算教育支出逐年只增不减，按在校学生人数平均的一般公共预算教育支出逐年只增不减（5分）；</w:t>
            </w:r>
          </w:p>
        </w:tc>
        <w:tc>
          <w:tcPr>
            <w:tcW w:w="721" w:type="dxa"/>
            <w:vMerge w:val="restart"/>
            <w:tcBorders>
              <w:top w:val="single" w:color="auto" w:sz="4" w:space="0"/>
              <w:left w:val="nil"/>
              <w:right w:val="single" w:color="auto" w:sz="4" w:space="0"/>
            </w:tcBorders>
            <w:noWrap w:val="0"/>
            <w:vAlign w:val="center"/>
          </w:tcPr>
          <w:p w14:paraId="566ACA6F">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B</w:t>
            </w:r>
          </w:p>
          <w:p w14:paraId="52BC06BC">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vMerge w:val="restart"/>
            <w:tcBorders>
              <w:top w:val="single" w:color="auto" w:sz="4" w:space="0"/>
              <w:left w:val="nil"/>
              <w:right w:val="single" w:color="auto" w:sz="4" w:space="0"/>
            </w:tcBorders>
            <w:noWrap w:val="0"/>
            <w:vAlign w:val="center"/>
          </w:tcPr>
          <w:p w14:paraId="7A32A864">
            <w:pPr>
              <w:widowControl/>
              <w:spacing w:line="30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市自规局昌江分局、区财政局、区教体局</w:t>
            </w:r>
          </w:p>
          <w:p w14:paraId="54100F29">
            <w:pPr>
              <w:widowControl/>
              <w:spacing w:line="300" w:lineRule="exact"/>
              <w:jc w:val="center"/>
              <w:rPr>
                <w:rFonts w:hint="eastAsia" w:ascii="仿宋" w:hAnsi="仿宋" w:eastAsia="仿宋" w:cs="仿宋"/>
                <w:b w:val="0"/>
                <w:bCs w:val="0"/>
                <w:kern w:val="0"/>
                <w:sz w:val="24"/>
                <w:szCs w:val="24"/>
              </w:rPr>
            </w:pPr>
          </w:p>
        </w:tc>
      </w:tr>
      <w:tr w14:paraId="755171F9">
        <w:tblPrEx>
          <w:tblCellMar>
            <w:top w:w="0" w:type="dxa"/>
            <w:left w:w="108" w:type="dxa"/>
            <w:bottom w:w="0" w:type="dxa"/>
            <w:right w:w="108" w:type="dxa"/>
          </w:tblCellMar>
        </w:tblPrEx>
        <w:trPr>
          <w:trHeight w:val="807" w:hRule="atLeast"/>
        </w:trPr>
        <w:tc>
          <w:tcPr>
            <w:tcW w:w="789" w:type="dxa"/>
            <w:vMerge w:val="continue"/>
            <w:tcBorders>
              <w:left w:val="single" w:color="auto" w:sz="4" w:space="0"/>
              <w:right w:val="single" w:color="auto" w:sz="4" w:space="0"/>
            </w:tcBorders>
            <w:noWrap w:val="0"/>
            <w:vAlign w:val="center"/>
          </w:tcPr>
          <w:p w14:paraId="582B7DB4">
            <w:pPr>
              <w:widowControl/>
              <w:jc w:val="center"/>
              <w:rPr>
                <w:rFonts w:hint="eastAsia" w:ascii="仿宋" w:hAnsi="仿宋" w:eastAsia="仿宋" w:cs="仿宋"/>
                <w:b/>
                <w:bCs/>
                <w:kern w:val="0"/>
                <w:sz w:val="24"/>
              </w:rPr>
            </w:pPr>
          </w:p>
        </w:tc>
        <w:tc>
          <w:tcPr>
            <w:tcW w:w="2513" w:type="dxa"/>
            <w:vMerge w:val="continue"/>
            <w:tcBorders>
              <w:left w:val="nil"/>
              <w:bottom w:val="single" w:color="auto" w:sz="4" w:space="0"/>
              <w:right w:val="single" w:color="auto" w:sz="4" w:space="0"/>
            </w:tcBorders>
            <w:noWrap w:val="0"/>
            <w:vAlign w:val="center"/>
          </w:tcPr>
          <w:p w14:paraId="350A1FF4">
            <w:pPr>
              <w:widowControl/>
              <w:spacing w:line="300" w:lineRule="exact"/>
              <w:rPr>
                <w:rFonts w:hint="eastAsia" w:ascii="仿宋" w:hAnsi="仿宋" w:eastAsia="仿宋" w:cs="仿宋"/>
                <w:kern w:val="0"/>
                <w:sz w:val="24"/>
              </w:rPr>
            </w:pPr>
          </w:p>
        </w:tc>
        <w:tc>
          <w:tcPr>
            <w:tcW w:w="8459" w:type="dxa"/>
            <w:tcBorders>
              <w:top w:val="single" w:color="auto" w:sz="4" w:space="0"/>
              <w:left w:val="nil"/>
              <w:bottom w:val="single" w:color="auto" w:sz="4" w:space="0"/>
              <w:right w:val="single" w:color="auto" w:sz="4" w:space="0"/>
            </w:tcBorders>
            <w:noWrap w:val="0"/>
            <w:vAlign w:val="center"/>
          </w:tcPr>
          <w:p w14:paraId="65D911D4">
            <w:pPr>
              <w:spacing w:line="340" w:lineRule="exact"/>
              <w:rPr>
                <w:rFonts w:hint="eastAsia" w:ascii="仿宋" w:hAnsi="仿宋" w:eastAsia="仿宋" w:cs="仿宋"/>
                <w:kern w:val="0"/>
                <w:sz w:val="24"/>
              </w:rPr>
            </w:pPr>
            <w:r>
              <w:rPr>
                <w:rFonts w:hint="eastAsia" w:ascii="仿宋" w:hAnsi="仿宋" w:eastAsia="仿宋" w:cs="仿宋"/>
                <w:kern w:val="0"/>
                <w:sz w:val="24"/>
              </w:rPr>
              <w:t>2.城乡教育一体化发展规划措施完善，实行教育用地联审联批制度</w:t>
            </w:r>
            <w:r>
              <w:rPr>
                <w:rFonts w:hint="eastAsia" w:ascii="仿宋" w:hAnsi="仿宋" w:eastAsia="仿宋" w:cs="仿宋"/>
                <w:kern w:val="0"/>
                <w:sz w:val="24"/>
                <w:lang w:eastAsia="zh-CN"/>
              </w:rPr>
              <w:t>；</w:t>
            </w:r>
            <w:r>
              <w:rPr>
                <w:rFonts w:hint="eastAsia" w:ascii="仿宋" w:hAnsi="仿宋" w:eastAsia="仿宋" w:cs="仿宋"/>
                <w:kern w:val="0"/>
                <w:sz w:val="24"/>
              </w:rPr>
              <w:t>人员编制、建设经费等得到优先保障（5分）。</w:t>
            </w:r>
          </w:p>
        </w:tc>
        <w:tc>
          <w:tcPr>
            <w:tcW w:w="721" w:type="dxa"/>
            <w:vMerge w:val="continue"/>
            <w:tcBorders>
              <w:left w:val="nil"/>
              <w:bottom w:val="single" w:color="auto" w:sz="4" w:space="0"/>
              <w:right w:val="single" w:color="auto" w:sz="4" w:space="0"/>
            </w:tcBorders>
            <w:noWrap w:val="0"/>
            <w:vAlign w:val="center"/>
          </w:tcPr>
          <w:p w14:paraId="13D06DB5">
            <w:pPr>
              <w:spacing w:line="300" w:lineRule="exact"/>
              <w:jc w:val="center"/>
              <w:rPr>
                <w:rFonts w:hint="eastAsia" w:ascii="仿宋" w:hAnsi="仿宋" w:eastAsia="仿宋" w:cs="仿宋"/>
                <w:kern w:val="0"/>
                <w:sz w:val="24"/>
              </w:rPr>
            </w:pPr>
          </w:p>
        </w:tc>
        <w:tc>
          <w:tcPr>
            <w:tcW w:w="2226" w:type="dxa"/>
            <w:vMerge w:val="continue"/>
            <w:tcBorders>
              <w:left w:val="nil"/>
              <w:bottom w:val="single" w:color="auto" w:sz="4" w:space="0"/>
              <w:right w:val="single" w:color="auto" w:sz="4" w:space="0"/>
            </w:tcBorders>
            <w:noWrap w:val="0"/>
            <w:vAlign w:val="center"/>
          </w:tcPr>
          <w:p w14:paraId="39477B0E">
            <w:pPr>
              <w:widowControl/>
              <w:spacing w:line="300" w:lineRule="exact"/>
              <w:jc w:val="center"/>
              <w:rPr>
                <w:rFonts w:hint="eastAsia" w:ascii="仿宋" w:hAnsi="仿宋" w:eastAsia="仿宋" w:cs="仿宋"/>
                <w:b w:val="0"/>
                <w:bCs w:val="0"/>
                <w:kern w:val="0"/>
                <w:sz w:val="24"/>
                <w:szCs w:val="24"/>
              </w:rPr>
            </w:pPr>
          </w:p>
        </w:tc>
      </w:tr>
      <w:tr w14:paraId="22A63FE4">
        <w:tblPrEx>
          <w:tblCellMar>
            <w:top w:w="0" w:type="dxa"/>
            <w:left w:w="108" w:type="dxa"/>
            <w:bottom w:w="0" w:type="dxa"/>
            <w:right w:w="108" w:type="dxa"/>
          </w:tblCellMar>
        </w:tblPrEx>
        <w:trPr>
          <w:trHeight w:val="2230" w:hRule="atLeast"/>
        </w:trPr>
        <w:tc>
          <w:tcPr>
            <w:tcW w:w="789" w:type="dxa"/>
            <w:vMerge w:val="continue"/>
            <w:tcBorders>
              <w:left w:val="single" w:color="auto" w:sz="4" w:space="0"/>
              <w:right w:val="single" w:color="auto" w:sz="4" w:space="0"/>
            </w:tcBorders>
            <w:noWrap w:val="0"/>
            <w:vAlign w:val="center"/>
          </w:tcPr>
          <w:p w14:paraId="6C5E1DE7">
            <w:pPr>
              <w:widowControl/>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94FA9A8">
            <w:pPr>
              <w:widowControl/>
              <w:spacing w:line="300" w:lineRule="exact"/>
              <w:rPr>
                <w:rFonts w:hint="eastAsia" w:ascii="仿宋" w:hAnsi="仿宋" w:eastAsia="仿宋" w:cs="仿宋"/>
                <w:kern w:val="0"/>
                <w:sz w:val="24"/>
              </w:rPr>
            </w:pPr>
            <w:r>
              <w:rPr>
                <w:rFonts w:hint="eastAsia" w:ascii="仿宋" w:hAnsi="仿宋" w:eastAsia="仿宋" w:cs="仿宋"/>
                <w:kern w:val="0"/>
                <w:sz w:val="24"/>
              </w:rPr>
              <w:t>9.学校规划布局合理</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A0504AC">
            <w:pPr>
              <w:widowControl/>
              <w:spacing w:line="340" w:lineRule="exact"/>
              <w:rPr>
                <w:rFonts w:hint="eastAsia" w:ascii="仿宋" w:hAnsi="仿宋" w:eastAsia="仿宋" w:cs="仿宋"/>
                <w:kern w:val="0"/>
                <w:sz w:val="24"/>
              </w:rPr>
            </w:pPr>
            <w:r>
              <w:rPr>
                <w:rFonts w:hint="eastAsia" w:ascii="仿宋" w:hAnsi="仿宋" w:eastAsia="仿宋" w:cs="仿宋"/>
                <w:kern w:val="0"/>
                <w:sz w:val="24"/>
              </w:rPr>
              <w:t>1.把义务教育网点布局纳入城镇建设总体规划（3分）；</w:t>
            </w:r>
          </w:p>
          <w:p w14:paraId="15A30595">
            <w:pPr>
              <w:widowControl/>
              <w:spacing w:line="340" w:lineRule="exact"/>
              <w:rPr>
                <w:rFonts w:hint="eastAsia" w:ascii="仿宋" w:hAnsi="仿宋" w:eastAsia="仿宋" w:cs="仿宋"/>
                <w:kern w:val="0"/>
                <w:sz w:val="24"/>
              </w:rPr>
            </w:pPr>
            <w:r>
              <w:rPr>
                <w:rFonts w:hint="eastAsia" w:ascii="仿宋" w:hAnsi="仿宋" w:eastAsia="仿宋" w:cs="仿宋"/>
                <w:kern w:val="0"/>
                <w:sz w:val="24"/>
              </w:rPr>
              <w:t>2.规划建设一万人以上居民住宅区有配置小学</w:t>
            </w:r>
            <w:r>
              <w:rPr>
                <w:rFonts w:hint="eastAsia" w:ascii="仿宋" w:hAnsi="仿宋" w:eastAsia="仿宋" w:cs="仿宋"/>
                <w:kern w:val="0"/>
                <w:sz w:val="24"/>
                <w:lang w:eastAsia="zh-CN"/>
              </w:rPr>
              <w:t>，</w:t>
            </w:r>
            <w:r>
              <w:rPr>
                <w:rFonts w:hint="eastAsia" w:ascii="仿宋" w:hAnsi="仿宋" w:eastAsia="仿宋" w:cs="仿宋"/>
                <w:kern w:val="0"/>
                <w:sz w:val="24"/>
              </w:rPr>
              <w:t>规划建设三万人以上居民住宅区有配置初中（3分）；</w:t>
            </w:r>
          </w:p>
          <w:p w14:paraId="4146362C">
            <w:pPr>
              <w:widowControl/>
              <w:spacing w:line="340" w:lineRule="exact"/>
              <w:rPr>
                <w:rFonts w:hint="eastAsia" w:ascii="仿宋" w:hAnsi="仿宋" w:eastAsia="仿宋" w:cs="仿宋"/>
                <w:kern w:val="0"/>
                <w:sz w:val="24"/>
              </w:rPr>
            </w:pPr>
            <w:r>
              <w:rPr>
                <w:rFonts w:hint="eastAsia" w:ascii="仿宋" w:hAnsi="仿宋" w:eastAsia="仿宋" w:cs="仿宋"/>
                <w:kern w:val="0"/>
                <w:sz w:val="24"/>
              </w:rPr>
              <w:t>3.原则上每个乡镇应设有初中，人口相对集中的自然村都设置村小学或教学点。农村小学1至3年级学生原则上不寄宿，就近走读上学，原则上农村小学、初中分别按服务半径2.5公里和3公里，科学合理设置寄宿学校和教学点（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E3B9CD3">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B</w:t>
            </w:r>
          </w:p>
          <w:p w14:paraId="020D1A60">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（9分）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01124150">
            <w:pPr>
              <w:widowControl/>
              <w:spacing w:line="30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市自规局昌江分局、区教体局</w:t>
            </w:r>
          </w:p>
        </w:tc>
      </w:tr>
      <w:tr w14:paraId="063C0290">
        <w:tblPrEx>
          <w:tblCellMar>
            <w:top w:w="0" w:type="dxa"/>
            <w:left w:w="108" w:type="dxa"/>
            <w:bottom w:w="0" w:type="dxa"/>
            <w:right w:w="108" w:type="dxa"/>
          </w:tblCellMar>
        </w:tblPrEx>
        <w:trPr>
          <w:trHeight w:val="2383" w:hRule="atLeast"/>
        </w:trPr>
        <w:tc>
          <w:tcPr>
            <w:tcW w:w="789" w:type="dxa"/>
            <w:vMerge w:val="continue"/>
            <w:tcBorders>
              <w:left w:val="single" w:color="auto" w:sz="4" w:space="0"/>
              <w:right w:val="single" w:color="auto" w:sz="4" w:space="0"/>
            </w:tcBorders>
            <w:noWrap w:val="0"/>
            <w:vAlign w:val="center"/>
          </w:tcPr>
          <w:p w14:paraId="196C7783">
            <w:pPr>
              <w:widowControl/>
              <w:jc w:val="left"/>
              <w:rPr>
                <w:rFonts w:hint="eastAsia" w:ascii="仿宋" w:hAnsi="仿宋" w:eastAsia="仿宋" w:cs="仿宋"/>
                <w:b w:val="0"/>
                <w:bCs w:val="0"/>
                <w:kern w:val="0"/>
                <w:sz w:val="24"/>
                <w:szCs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528EDE80">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10.推进城乡义务教育</w:t>
            </w:r>
          </w:p>
          <w:p w14:paraId="47A80C61">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学校“四统一”标准</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A79E3CF">
            <w:pPr>
              <w:widowControl/>
              <w:spacing w:line="34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1.按照《江西省普通小学、初级中学、高级中学基本办学条件标准（试行）》推进县域内义务教育学校标准化建设；</w:t>
            </w:r>
          </w:p>
          <w:p w14:paraId="087BBC2D">
            <w:pPr>
              <w:widowControl/>
              <w:spacing w:line="34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2.城乡小学教职工编制标准统一为师生比1:19，初中统一为1:13.5；</w:t>
            </w:r>
          </w:p>
          <w:p w14:paraId="0D04BC81">
            <w:pPr>
              <w:widowControl/>
              <w:spacing w:line="34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3.城乡小学、初中生均公用经费基准定额不低于省定标准，并逐年提高；</w:t>
            </w:r>
          </w:p>
          <w:p w14:paraId="63FDEDD8">
            <w:pPr>
              <w:widowControl/>
              <w:spacing w:line="34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4.城乡小学、初中基本装备分别按照《江西省普通小学、初级中学、高级中学基本办学条件标准（试行）》要求进行统一配置。</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9C32649">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6F6A858">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市自规局昌江分局、区住建局、区委编办、区人社局、区财政局、区教体局</w:t>
            </w:r>
          </w:p>
        </w:tc>
      </w:tr>
      <w:tr w14:paraId="11820EA7">
        <w:tblPrEx>
          <w:tblCellMar>
            <w:top w:w="0" w:type="dxa"/>
            <w:left w:w="108" w:type="dxa"/>
            <w:bottom w:w="0" w:type="dxa"/>
            <w:right w:w="108" w:type="dxa"/>
          </w:tblCellMar>
        </w:tblPrEx>
        <w:trPr>
          <w:trHeight w:val="1600" w:hRule="atLeast"/>
        </w:trPr>
        <w:tc>
          <w:tcPr>
            <w:tcW w:w="789" w:type="dxa"/>
            <w:vMerge w:val="continue"/>
            <w:tcBorders>
              <w:left w:val="single" w:color="auto" w:sz="4" w:space="0"/>
              <w:right w:val="single" w:color="auto" w:sz="4" w:space="0"/>
            </w:tcBorders>
            <w:noWrap w:val="0"/>
            <w:vAlign w:val="center"/>
          </w:tcPr>
          <w:p w14:paraId="05ECCE92">
            <w:pPr>
              <w:jc w:val="center"/>
              <w:rPr>
                <w:rFonts w:hint="eastAsia" w:ascii="仿宋" w:hAnsi="仿宋" w:eastAsia="仿宋" w:cs="仿宋"/>
                <w:b w:val="0"/>
                <w:bCs w:val="0"/>
                <w:kern w:val="0"/>
                <w:sz w:val="24"/>
                <w:szCs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A7247DA">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11.小学、初中音乐、</w:t>
            </w:r>
          </w:p>
          <w:p w14:paraId="753D0F4F">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美术专用</w:t>
            </w:r>
            <w:r>
              <w:rPr>
                <w:rFonts w:hint="eastAsia" w:ascii="仿宋" w:hAnsi="仿宋" w:eastAsia="仿宋" w:cs="仿宋"/>
                <w:b w:val="0"/>
                <w:bCs w:val="0"/>
                <w:kern w:val="0"/>
                <w:sz w:val="24"/>
                <w:szCs w:val="24"/>
                <w:lang w:val="en-US" w:eastAsia="zh-CN"/>
              </w:rPr>
              <w:t>教室</w:t>
            </w:r>
            <w:r>
              <w:rPr>
                <w:rFonts w:hint="eastAsia" w:ascii="仿宋" w:hAnsi="仿宋" w:eastAsia="仿宋" w:cs="仿宋"/>
                <w:b w:val="0"/>
                <w:bCs w:val="0"/>
                <w:kern w:val="0"/>
                <w:sz w:val="24"/>
                <w:szCs w:val="24"/>
              </w:rPr>
              <w:t>配备</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639D4BEC">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1.小学每12个班级配备音乐、美术室1间以上，每间音乐专用教室面积不小于96平方米，每间美术专用教室面积不小于90平方米；</w:t>
            </w:r>
          </w:p>
          <w:p w14:paraId="7C5CCA55">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2.初中每12个班级配备音乐、美术室1间以上，每间音乐专用教室面积不小于96平方米，每间美术专用教室面积不小于90平方米。</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1F7E9BC">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742CDEE">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区教体局、区财政局</w:t>
            </w:r>
          </w:p>
        </w:tc>
      </w:tr>
      <w:tr w14:paraId="2300F3D1">
        <w:tblPrEx>
          <w:tblCellMar>
            <w:top w:w="0" w:type="dxa"/>
            <w:left w:w="108" w:type="dxa"/>
            <w:bottom w:w="0" w:type="dxa"/>
            <w:right w:w="108" w:type="dxa"/>
          </w:tblCellMar>
        </w:tblPrEx>
        <w:trPr>
          <w:trHeight w:val="1734" w:hRule="atLeast"/>
        </w:trPr>
        <w:tc>
          <w:tcPr>
            <w:tcW w:w="789" w:type="dxa"/>
            <w:vMerge w:val="continue"/>
            <w:tcBorders>
              <w:left w:val="single" w:color="auto" w:sz="4" w:space="0"/>
              <w:bottom w:val="single" w:color="auto" w:sz="4" w:space="0"/>
              <w:right w:val="single" w:color="auto" w:sz="4" w:space="0"/>
            </w:tcBorders>
            <w:noWrap w:val="0"/>
            <w:vAlign w:val="center"/>
          </w:tcPr>
          <w:p w14:paraId="152F5A01">
            <w:pPr>
              <w:widowControl/>
              <w:jc w:val="left"/>
              <w:rPr>
                <w:rFonts w:hint="eastAsia" w:ascii="仿宋" w:hAnsi="仿宋" w:eastAsia="仿宋" w:cs="仿宋"/>
                <w:b w:val="0"/>
                <w:bCs w:val="0"/>
                <w:kern w:val="0"/>
                <w:sz w:val="24"/>
                <w:szCs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2580F1C">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12.小学、初中校额</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52189906">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所有小学、初中规模不超过2000人，九年一贯制学校、十二年一贯制学校义务教育阶段规模不超过2500人；其中2018年9月前已建成的小学、初中以及九年一贯制学校、十二年一贯制学校义务教育规模如超过上述标准，应逐步降低校额并严格控制在上述标准的120%以内。</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7620BF3">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7300DCC1">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区教体局、区住建局</w:t>
            </w:r>
          </w:p>
        </w:tc>
      </w:tr>
    </w:tbl>
    <w:p w14:paraId="0B08D4E3">
      <w:pPr>
        <w:rPr>
          <w:rFonts w:hint="eastAsia" w:ascii="仿宋" w:hAnsi="仿宋" w:eastAsia="仿宋" w:cs="仿宋"/>
          <w:b w:val="0"/>
          <w:bCs w:val="0"/>
          <w:sz w:val="24"/>
          <w:szCs w:val="24"/>
        </w:rPr>
      </w:pPr>
    </w:p>
    <w:tbl>
      <w:tblPr>
        <w:tblStyle w:val="6"/>
        <w:tblW w:w="14708" w:type="dxa"/>
        <w:tblInd w:w="0" w:type="dxa"/>
        <w:tblLayout w:type="fixed"/>
        <w:tblCellMar>
          <w:top w:w="0" w:type="dxa"/>
          <w:left w:w="108" w:type="dxa"/>
          <w:bottom w:w="0" w:type="dxa"/>
          <w:right w:w="108" w:type="dxa"/>
        </w:tblCellMar>
      </w:tblPr>
      <w:tblGrid>
        <w:gridCol w:w="789"/>
        <w:gridCol w:w="2848"/>
        <w:gridCol w:w="8124"/>
        <w:gridCol w:w="721"/>
        <w:gridCol w:w="2226"/>
      </w:tblGrid>
      <w:tr w14:paraId="0030B1F6">
        <w:tblPrEx>
          <w:tblCellMar>
            <w:top w:w="0" w:type="dxa"/>
            <w:left w:w="108" w:type="dxa"/>
            <w:bottom w:w="0" w:type="dxa"/>
            <w:right w:w="108" w:type="dxa"/>
          </w:tblCellMar>
        </w:tblPrEx>
        <w:trPr>
          <w:trHeight w:val="789" w:hRule="atLeast"/>
        </w:trPr>
        <w:tc>
          <w:tcPr>
            <w:tcW w:w="789" w:type="dxa"/>
            <w:vMerge w:val="restart"/>
            <w:tcBorders>
              <w:top w:val="single" w:color="auto" w:sz="4" w:space="0"/>
              <w:left w:val="single" w:color="auto" w:sz="4" w:space="0"/>
              <w:right w:val="single" w:color="auto" w:sz="4" w:space="0"/>
            </w:tcBorders>
            <w:noWrap w:val="0"/>
            <w:vAlign w:val="center"/>
          </w:tcPr>
          <w:p w14:paraId="6ECC3113">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政府</w:t>
            </w:r>
          </w:p>
          <w:p w14:paraId="120FE660">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保障</w:t>
            </w:r>
          </w:p>
          <w:p w14:paraId="241F80DE">
            <w:pPr>
              <w:jc w:val="center"/>
              <w:rPr>
                <w:rFonts w:hint="eastAsia" w:ascii="仿宋" w:hAnsi="仿宋" w:eastAsia="仿宋" w:cs="仿宋"/>
                <w:b w:val="0"/>
                <w:bCs w:val="0"/>
                <w:kern w:val="0"/>
                <w:sz w:val="24"/>
                <w:szCs w:val="24"/>
              </w:rPr>
            </w:pPr>
            <w:r>
              <w:rPr>
                <w:rFonts w:hint="eastAsia" w:ascii="仿宋" w:hAnsi="仿宋" w:eastAsia="仿宋" w:cs="仿宋"/>
                <w:b/>
                <w:bCs/>
                <w:kern w:val="0"/>
                <w:sz w:val="24"/>
                <w:szCs w:val="24"/>
              </w:rPr>
              <w:t>程度</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A0C8D72">
            <w:pPr>
              <w:widowControl/>
              <w:spacing w:line="32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13.小学、初中班额</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6DD5930">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1.小学班级学生数不超过45人；</w:t>
            </w:r>
          </w:p>
          <w:p w14:paraId="3F7C722D">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2.初中班级学生数不超过50人。</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65236CF">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7B51905">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4F4BCC78">
        <w:tblPrEx>
          <w:tblCellMar>
            <w:top w:w="0" w:type="dxa"/>
            <w:left w:w="108" w:type="dxa"/>
            <w:bottom w:w="0" w:type="dxa"/>
            <w:right w:w="108" w:type="dxa"/>
          </w:tblCellMar>
        </w:tblPrEx>
        <w:trPr>
          <w:trHeight w:val="828" w:hRule="atLeast"/>
        </w:trPr>
        <w:tc>
          <w:tcPr>
            <w:tcW w:w="789" w:type="dxa"/>
            <w:vMerge w:val="continue"/>
            <w:tcBorders>
              <w:left w:val="single" w:color="auto" w:sz="4" w:space="0"/>
              <w:right w:val="single" w:color="auto" w:sz="4" w:space="0"/>
            </w:tcBorders>
            <w:noWrap w:val="0"/>
            <w:vAlign w:val="center"/>
          </w:tcPr>
          <w:p w14:paraId="3A2161CC">
            <w:pPr>
              <w:jc w:val="center"/>
              <w:rPr>
                <w:rFonts w:hint="eastAsia" w:ascii="仿宋" w:hAnsi="仿宋" w:eastAsia="仿宋" w:cs="仿宋"/>
                <w:b w:val="0"/>
                <w:bCs w:val="0"/>
                <w:kern w:val="0"/>
                <w:sz w:val="24"/>
                <w:szCs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E33706D">
            <w:pPr>
              <w:widowControl/>
              <w:spacing w:line="32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14.村小学和教学点生均公用经费</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AD20F5E">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1.不足100名学生村小学按100名学生核定公用经费；</w:t>
            </w:r>
          </w:p>
          <w:p w14:paraId="2BA02E8C">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2.不足100名学生教学点按100名学生核定公用经费。</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B7283B5">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7608859">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区教体局、区财政局</w:t>
            </w:r>
          </w:p>
        </w:tc>
      </w:tr>
      <w:tr w14:paraId="641C9115">
        <w:tblPrEx>
          <w:tblCellMar>
            <w:top w:w="0" w:type="dxa"/>
            <w:left w:w="108" w:type="dxa"/>
            <w:bottom w:w="0" w:type="dxa"/>
            <w:right w:w="108" w:type="dxa"/>
          </w:tblCellMar>
        </w:tblPrEx>
        <w:trPr>
          <w:trHeight w:val="695" w:hRule="atLeast"/>
        </w:trPr>
        <w:tc>
          <w:tcPr>
            <w:tcW w:w="789" w:type="dxa"/>
            <w:vMerge w:val="continue"/>
            <w:tcBorders>
              <w:left w:val="single" w:color="auto" w:sz="4" w:space="0"/>
              <w:right w:val="single" w:color="auto" w:sz="4" w:space="0"/>
            </w:tcBorders>
            <w:noWrap w:val="0"/>
            <w:vAlign w:val="center"/>
          </w:tcPr>
          <w:p w14:paraId="4B6C11B5">
            <w:pPr>
              <w:jc w:val="center"/>
              <w:rPr>
                <w:rFonts w:hint="eastAsia" w:ascii="仿宋" w:hAnsi="仿宋" w:eastAsia="仿宋" w:cs="仿宋"/>
                <w:b w:val="0"/>
                <w:bCs w:val="0"/>
                <w:kern w:val="0"/>
                <w:sz w:val="24"/>
                <w:szCs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02E0C70">
            <w:pPr>
              <w:widowControl/>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15.特殊教育学校生均公用经费标准</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A656D8B">
            <w:pPr>
              <w:widowControl/>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1.特殊教育学校生均公用经费不低于6000元，并逐年提高。</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B2C7ED8">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457D199">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区教体局、区财政局</w:t>
            </w:r>
          </w:p>
        </w:tc>
      </w:tr>
      <w:tr w14:paraId="4456A393">
        <w:tblPrEx>
          <w:tblCellMar>
            <w:top w:w="0" w:type="dxa"/>
            <w:left w:w="108" w:type="dxa"/>
            <w:bottom w:w="0" w:type="dxa"/>
            <w:right w:w="108" w:type="dxa"/>
          </w:tblCellMar>
        </w:tblPrEx>
        <w:trPr>
          <w:trHeight w:val="2030" w:hRule="atLeast"/>
        </w:trPr>
        <w:tc>
          <w:tcPr>
            <w:tcW w:w="789" w:type="dxa"/>
            <w:vMerge w:val="continue"/>
            <w:tcBorders>
              <w:left w:val="single" w:color="auto" w:sz="4" w:space="0"/>
              <w:right w:val="single" w:color="auto" w:sz="4" w:space="0"/>
            </w:tcBorders>
            <w:noWrap w:val="0"/>
            <w:vAlign w:val="center"/>
          </w:tcPr>
          <w:p w14:paraId="15B3165A">
            <w:pPr>
              <w:jc w:val="center"/>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CC24ECF">
            <w:pPr>
              <w:widowControl/>
              <w:rPr>
                <w:rFonts w:hint="eastAsia" w:ascii="仿宋" w:hAnsi="仿宋" w:eastAsia="仿宋" w:cs="仿宋"/>
                <w:kern w:val="0"/>
                <w:sz w:val="24"/>
              </w:rPr>
            </w:pPr>
            <w:r>
              <w:rPr>
                <w:rFonts w:hint="eastAsia" w:ascii="仿宋" w:hAnsi="仿宋" w:eastAsia="仿宋" w:cs="仿宋"/>
                <w:kern w:val="0"/>
                <w:sz w:val="24"/>
              </w:rPr>
              <w:t>16.落实教师待遇</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42A29267">
            <w:pPr>
              <w:widowControl/>
              <w:rPr>
                <w:rFonts w:hint="eastAsia" w:ascii="仿宋" w:hAnsi="仿宋" w:eastAsia="仿宋" w:cs="仿宋"/>
                <w:kern w:val="0"/>
                <w:sz w:val="24"/>
              </w:rPr>
            </w:pPr>
            <w:r>
              <w:rPr>
                <w:rFonts w:hint="eastAsia" w:ascii="仿宋" w:hAnsi="仿宋" w:eastAsia="仿宋" w:cs="仿宋"/>
                <w:kern w:val="0"/>
                <w:sz w:val="24"/>
              </w:rPr>
              <w:t>1.完善教师医疗、养老等社会保障制度，教师养老保险、医疗保险、住房公积金以及农村中小学教师特殊津贴、集中连片特困地区乡村教师生活补助、乡镇工作补贴、特殊教育津贴等纳入财政预算并及时足额落实；</w:t>
            </w:r>
          </w:p>
          <w:p w14:paraId="12D701B1">
            <w:pPr>
              <w:widowControl/>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spacing w:val="-4"/>
                <w:kern w:val="0"/>
                <w:sz w:val="24"/>
              </w:rPr>
              <w:t>全县义务教育学校教师平均工资收入水平不低于当地公务员平均工资收入水平；</w:t>
            </w:r>
          </w:p>
          <w:p w14:paraId="670DCB12">
            <w:pPr>
              <w:widowControl/>
              <w:rPr>
                <w:rFonts w:hint="eastAsia" w:ascii="仿宋" w:hAnsi="仿宋" w:eastAsia="仿宋" w:cs="仿宋"/>
                <w:kern w:val="0"/>
                <w:sz w:val="24"/>
              </w:rPr>
            </w:pPr>
            <w:r>
              <w:rPr>
                <w:rFonts w:hint="eastAsia" w:ascii="仿宋" w:hAnsi="仿宋" w:eastAsia="仿宋" w:cs="仿宋"/>
                <w:kern w:val="0"/>
                <w:sz w:val="24"/>
              </w:rPr>
              <w:t>3.按规定足额核定教师绩效工资总量。</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7B70EC6">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1DD22C0">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区人社局、区财政局</w:t>
            </w:r>
          </w:p>
        </w:tc>
      </w:tr>
      <w:tr w14:paraId="7E6FA72B">
        <w:tblPrEx>
          <w:tblCellMar>
            <w:top w:w="0" w:type="dxa"/>
            <w:left w:w="108" w:type="dxa"/>
            <w:bottom w:w="0" w:type="dxa"/>
            <w:right w:w="108" w:type="dxa"/>
          </w:tblCellMar>
        </w:tblPrEx>
        <w:trPr>
          <w:trHeight w:val="698" w:hRule="atLeast"/>
        </w:trPr>
        <w:tc>
          <w:tcPr>
            <w:tcW w:w="789" w:type="dxa"/>
            <w:vMerge w:val="continue"/>
            <w:tcBorders>
              <w:left w:val="single" w:color="auto" w:sz="4" w:space="0"/>
              <w:right w:val="single" w:color="auto" w:sz="4" w:space="0"/>
            </w:tcBorders>
            <w:noWrap w:val="0"/>
            <w:vAlign w:val="center"/>
          </w:tcPr>
          <w:p w14:paraId="10A0CA0C">
            <w:pPr>
              <w:jc w:val="center"/>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528262AA">
            <w:pPr>
              <w:widowControl/>
              <w:spacing w:line="300" w:lineRule="exact"/>
              <w:rPr>
                <w:rFonts w:hint="eastAsia" w:ascii="仿宋" w:hAnsi="仿宋" w:eastAsia="仿宋" w:cs="仿宋"/>
                <w:kern w:val="0"/>
                <w:sz w:val="24"/>
              </w:rPr>
            </w:pPr>
            <w:r>
              <w:rPr>
                <w:rFonts w:hint="eastAsia" w:ascii="仿宋" w:hAnsi="仿宋" w:eastAsia="仿宋" w:cs="仿宋"/>
                <w:kern w:val="0"/>
                <w:sz w:val="24"/>
              </w:rPr>
              <w:t>17.加强教师培训</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6BD4F7AE">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1.教师5年360学时培训完成率达到100%。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A05D928">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31AD5041">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525B8BA3">
        <w:tblPrEx>
          <w:tblCellMar>
            <w:top w:w="0" w:type="dxa"/>
            <w:left w:w="108" w:type="dxa"/>
            <w:bottom w:w="0" w:type="dxa"/>
            <w:right w:w="108" w:type="dxa"/>
          </w:tblCellMar>
        </w:tblPrEx>
        <w:trPr>
          <w:trHeight w:val="1149" w:hRule="atLeast"/>
        </w:trPr>
        <w:tc>
          <w:tcPr>
            <w:tcW w:w="789" w:type="dxa"/>
            <w:vMerge w:val="continue"/>
            <w:tcBorders>
              <w:left w:val="single" w:color="auto" w:sz="4" w:space="0"/>
              <w:right w:val="single" w:color="auto" w:sz="4" w:space="0"/>
            </w:tcBorders>
            <w:noWrap w:val="0"/>
            <w:vAlign w:val="center"/>
          </w:tcPr>
          <w:p w14:paraId="393E547E">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BA658A7">
            <w:pPr>
              <w:widowControl/>
              <w:spacing w:line="300" w:lineRule="exact"/>
              <w:rPr>
                <w:rFonts w:hint="eastAsia" w:ascii="仿宋" w:hAnsi="仿宋" w:eastAsia="仿宋" w:cs="仿宋"/>
                <w:kern w:val="0"/>
                <w:sz w:val="24"/>
              </w:rPr>
            </w:pPr>
            <w:r>
              <w:rPr>
                <w:rFonts w:hint="eastAsia" w:ascii="仿宋" w:hAnsi="仿宋" w:eastAsia="仿宋" w:cs="仿宋"/>
                <w:kern w:val="0"/>
                <w:sz w:val="24"/>
              </w:rPr>
              <w:t>18.完善教职工编制</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2DCD42B1">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1.编制和教育部门每年及时对教职工编制数进行动态调整；</w:t>
            </w:r>
          </w:p>
          <w:p w14:paraId="54CBEFB6">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2.教育行政部门在核定的教职工编制总额内，统筹分配各校教职工编制数量，并按规定相应调整各校的岗位总量和结构比例。</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CA52B00">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1EBBB110">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660DFB7E">
        <w:tblPrEx>
          <w:tblCellMar>
            <w:top w:w="0" w:type="dxa"/>
            <w:left w:w="108" w:type="dxa"/>
            <w:bottom w:w="0" w:type="dxa"/>
            <w:right w:w="108" w:type="dxa"/>
          </w:tblCellMar>
        </w:tblPrEx>
        <w:trPr>
          <w:trHeight w:val="717" w:hRule="atLeast"/>
        </w:trPr>
        <w:tc>
          <w:tcPr>
            <w:tcW w:w="789" w:type="dxa"/>
            <w:vMerge w:val="continue"/>
            <w:tcBorders>
              <w:left w:val="single" w:color="auto" w:sz="4" w:space="0"/>
              <w:right w:val="single" w:color="auto" w:sz="4" w:space="0"/>
            </w:tcBorders>
            <w:noWrap w:val="0"/>
            <w:vAlign w:val="center"/>
          </w:tcPr>
          <w:p w14:paraId="63178507">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E3C7EF2">
            <w:pPr>
              <w:widowControl/>
              <w:spacing w:line="300" w:lineRule="exact"/>
              <w:rPr>
                <w:rFonts w:hint="eastAsia" w:ascii="仿宋" w:hAnsi="仿宋" w:eastAsia="仿宋" w:cs="仿宋"/>
                <w:kern w:val="0"/>
                <w:sz w:val="24"/>
              </w:rPr>
            </w:pPr>
            <w:r>
              <w:rPr>
                <w:rFonts w:hint="eastAsia" w:ascii="仿宋" w:hAnsi="仿宋" w:eastAsia="仿宋" w:cs="仿宋"/>
                <w:kern w:val="0"/>
                <w:sz w:val="24"/>
              </w:rPr>
              <w:t>19.开展教师交流轮岗</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5B05623">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1.全县每年交流轮岗教师的比例不低于符合交流条件教师总数的10%;</w:t>
            </w:r>
          </w:p>
          <w:p w14:paraId="0D4CA977">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2.县级以上骨干教师不低于交流轮岗教师总数的20%。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EC367F2">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1E85621">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585E44A8">
        <w:tblPrEx>
          <w:tblCellMar>
            <w:top w:w="0" w:type="dxa"/>
            <w:left w:w="108" w:type="dxa"/>
            <w:bottom w:w="0" w:type="dxa"/>
            <w:right w:w="108" w:type="dxa"/>
          </w:tblCellMar>
        </w:tblPrEx>
        <w:trPr>
          <w:trHeight w:val="457" w:hRule="atLeast"/>
        </w:trPr>
        <w:tc>
          <w:tcPr>
            <w:tcW w:w="789" w:type="dxa"/>
            <w:vMerge w:val="continue"/>
            <w:tcBorders>
              <w:left w:val="single" w:color="auto" w:sz="4" w:space="0"/>
              <w:right w:val="single" w:color="auto" w:sz="4" w:space="0"/>
            </w:tcBorders>
            <w:noWrap w:val="0"/>
            <w:vAlign w:val="center"/>
          </w:tcPr>
          <w:p w14:paraId="0557A051">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F320F74">
            <w:pPr>
              <w:widowControl/>
              <w:spacing w:line="300" w:lineRule="exact"/>
              <w:rPr>
                <w:rFonts w:hint="eastAsia" w:ascii="仿宋" w:hAnsi="仿宋" w:eastAsia="仿宋" w:cs="仿宋"/>
                <w:kern w:val="0"/>
                <w:sz w:val="24"/>
              </w:rPr>
            </w:pPr>
            <w:r>
              <w:rPr>
                <w:rFonts w:hint="eastAsia" w:ascii="仿宋" w:hAnsi="仿宋" w:eastAsia="仿宋" w:cs="仿宋"/>
                <w:kern w:val="0"/>
                <w:sz w:val="24"/>
              </w:rPr>
              <w:t>20.专任教师持证上岗</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14D896F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1.专任教师持有教师资格证上岗率达到100%。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1F7E677">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67BCE24">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4C533F7C">
        <w:tblPrEx>
          <w:tblCellMar>
            <w:top w:w="0" w:type="dxa"/>
            <w:left w:w="108" w:type="dxa"/>
            <w:bottom w:w="0" w:type="dxa"/>
            <w:right w:w="108" w:type="dxa"/>
          </w:tblCellMar>
        </w:tblPrEx>
        <w:trPr>
          <w:trHeight w:val="1105" w:hRule="atLeast"/>
        </w:trPr>
        <w:tc>
          <w:tcPr>
            <w:tcW w:w="789" w:type="dxa"/>
            <w:vMerge w:val="continue"/>
            <w:tcBorders>
              <w:left w:val="single" w:color="auto" w:sz="4" w:space="0"/>
              <w:right w:val="single" w:color="auto" w:sz="4" w:space="0"/>
            </w:tcBorders>
            <w:noWrap w:val="0"/>
            <w:vAlign w:val="center"/>
          </w:tcPr>
          <w:p w14:paraId="220C5020">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CE5766C">
            <w:pPr>
              <w:widowControl/>
              <w:spacing w:line="300" w:lineRule="exact"/>
              <w:rPr>
                <w:rFonts w:hint="eastAsia" w:ascii="仿宋" w:hAnsi="仿宋" w:eastAsia="仿宋" w:cs="仿宋"/>
                <w:kern w:val="0"/>
                <w:sz w:val="24"/>
              </w:rPr>
            </w:pPr>
            <w:r>
              <w:rPr>
                <w:rFonts w:hint="eastAsia" w:ascii="仿宋" w:hAnsi="仿宋" w:eastAsia="仿宋" w:cs="仿宋"/>
                <w:kern w:val="0"/>
                <w:sz w:val="24"/>
              </w:rPr>
              <w:t>21.公办小学、初中</w:t>
            </w:r>
          </w:p>
          <w:p w14:paraId="221ECDFF">
            <w:pPr>
              <w:widowControl/>
              <w:spacing w:line="300" w:lineRule="exact"/>
              <w:rPr>
                <w:rFonts w:hint="eastAsia" w:ascii="仿宋" w:hAnsi="仿宋" w:eastAsia="仿宋" w:cs="仿宋"/>
                <w:kern w:val="0"/>
                <w:sz w:val="24"/>
              </w:rPr>
            </w:pPr>
            <w:r>
              <w:rPr>
                <w:rFonts w:hint="eastAsia" w:ascii="仿宋" w:hAnsi="仿宋" w:eastAsia="仿宋" w:cs="仿宋"/>
                <w:kern w:val="0"/>
                <w:sz w:val="24"/>
              </w:rPr>
              <w:t>就近划片入学</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464424D">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1.城区和镇区公办小学（不含寄宿制学校）就近划片入学比例分别达到100%。</w:t>
            </w:r>
          </w:p>
          <w:p w14:paraId="6089DBC2">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2.城区和镇区公办初中（不含寄宿制学校）就近划片入学比例分别达到95%以上。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CCEC7C9">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DEE2DFF">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14755004">
        <w:tblPrEx>
          <w:tblCellMar>
            <w:top w:w="0" w:type="dxa"/>
            <w:left w:w="108" w:type="dxa"/>
            <w:bottom w:w="0" w:type="dxa"/>
            <w:right w:w="108" w:type="dxa"/>
          </w:tblCellMar>
        </w:tblPrEx>
        <w:trPr>
          <w:trHeight w:val="676" w:hRule="atLeast"/>
        </w:trPr>
        <w:tc>
          <w:tcPr>
            <w:tcW w:w="789" w:type="dxa"/>
            <w:vMerge w:val="continue"/>
            <w:tcBorders>
              <w:left w:val="single" w:color="auto" w:sz="4" w:space="0"/>
              <w:bottom w:val="single" w:color="auto" w:sz="4" w:space="0"/>
              <w:right w:val="single" w:color="auto" w:sz="4" w:space="0"/>
            </w:tcBorders>
            <w:noWrap w:val="0"/>
            <w:vAlign w:val="center"/>
          </w:tcPr>
          <w:p w14:paraId="4E397CBF">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BD4767D">
            <w:pPr>
              <w:widowControl/>
              <w:spacing w:line="300" w:lineRule="exact"/>
              <w:rPr>
                <w:rFonts w:hint="eastAsia" w:ascii="仿宋" w:hAnsi="仿宋" w:eastAsia="仿宋" w:cs="仿宋"/>
                <w:kern w:val="0"/>
                <w:sz w:val="24"/>
              </w:rPr>
            </w:pPr>
            <w:r>
              <w:rPr>
                <w:rFonts w:hint="eastAsia" w:ascii="仿宋" w:hAnsi="仿宋" w:eastAsia="仿宋" w:cs="仿宋"/>
                <w:kern w:val="0"/>
                <w:sz w:val="24"/>
              </w:rPr>
              <w:t>22.优质高中招生名额</w:t>
            </w:r>
          </w:p>
          <w:p w14:paraId="0C330D0F">
            <w:pPr>
              <w:widowControl/>
              <w:spacing w:line="300" w:lineRule="exact"/>
              <w:rPr>
                <w:rFonts w:hint="eastAsia" w:ascii="仿宋" w:hAnsi="仿宋" w:eastAsia="仿宋" w:cs="仿宋"/>
                <w:kern w:val="0"/>
                <w:sz w:val="24"/>
              </w:rPr>
            </w:pPr>
            <w:r>
              <w:rPr>
                <w:rFonts w:hint="eastAsia" w:ascii="仿宋" w:hAnsi="仿宋" w:eastAsia="仿宋" w:cs="仿宋"/>
                <w:kern w:val="0"/>
                <w:sz w:val="24"/>
              </w:rPr>
              <w:t>分配</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6505A9FE">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1.优质高中招生名额分配比例不低于50%，并向农村初中倾斜。</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16343E2">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BCB3E93">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2BAFE7AC">
        <w:tblPrEx>
          <w:tblCellMar>
            <w:top w:w="0" w:type="dxa"/>
            <w:left w:w="108" w:type="dxa"/>
            <w:bottom w:w="0" w:type="dxa"/>
            <w:right w:w="108" w:type="dxa"/>
          </w:tblCellMar>
        </w:tblPrEx>
        <w:trPr>
          <w:trHeight w:val="1591" w:hRule="atLeast"/>
        </w:trPr>
        <w:tc>
          <w:tcPr>
            <w:tcW w:w="789" w:type="dxa"/>
            <w:vMerge w:val="restart"/>
            <w:tcBorders>
              <w:top w:val="single" w:color="auto" w:sz="4" w:space="0"/>
              <w:left w:val="single" w:color="auto" w:sz="4" w:space="0"/>
              <w:right w:val="single" w:color="auto" w:sz="4" w:space="0"/>
            </w:tcBorders>
            <w:noWrap w:val="0"/>
            <w:vAlign w:val="center"/>
          </w:tcPr>
          <w:p w14:paraId="75365BCE">
            <w:pPr>
              <w:jc w:val="center"/>
              <w:rPr>
                <w:rFonts w:hint="eastAsia" w:ascii="仿宋" w:hAnsi="仿宋" w:eastAsia="仿宋" w:cs="仿宋"/>
                <w:b/>
                <w:bCs/>
                <w:kern w:val="0"/>
                <w:sz w:val="24"/>
              </w:rPr>
            </w:pPr>
            <w:r>
              <w:rPr>
                <w:rFonts w:hint="eastAsia" w:ascii="仿宋" w:hAnsi="仿宋" w:eastAsia="仿宋" w:cs="仿宋"/>
                <w:b/>
                <w:bCs/>
                <w:kern w:val="0"/>
                <w:sz w:val="24"/>
              </w:rPr>
              <w:t>政府</w:t>
            </w:r>
          </w:p>
          <w:p w14:paraId="11FDDAF3">
            <w:pPr>
              <w:jc w:val="center"/>
              <w:rPr>
                <w:rFonts w:hint="eastAsia" w:ascii="仿宋" w:hAnsi="仿宋" w:eastAsia="仿宋" w:cs="仿宋"/>
                <w:b/>
                <w:bCs/>
                <w:kern w:val="0"/>
                <w:sz w:val="24"/>
              </w:rPr>
            </w:pPr>
            <w:r>
              <w:rPr>
                <w:rFonts w:hint="eastAsia" w:ascii="仿宋" w:hAnsi="仿宋" w:eastAsia="仿宋" w:cs="仿宋"/>
                <w:b/>
                <w:bCs/>
                <w:kern w:val="0"/>
                <w:sz w:val="24"/>
              </w:rPr>
              <w:t>保障</w:t>
            </w:r>
          </w:p>
          <w:p w14:paraId="277F2967">
            <w:pPr>
              <w:widowControl/>
              <w:jc w:val="left"/>
              <w:rPr>
                <w:rFonts w:hint="eastAsia" w:ascii="仿宋" w:hAnsi="仿宋" w:eastAsia="仿宋" w:cs="仿宋"/>
                <w:kern w:val="0"/>
                <w:sz w:val="24"/>
              </w:rPr>
            </w:pPr>
            <w:r>
              <w:rPr>
                <w:rFonts w:hint="eastAsia" w:ascii="仿宋" w:hAnsi="仿宋" w:eastAsia="仿宋" w:cs="仿宋"/>
                <w:b/>
                <w:bCs/>
                <w:kern w:val="0"/>
                <w:sz w:val="24"/>
              </w:rPr>
              <w:t>程度</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B2FEA11">
            <w:pPr>
              <w:widowControl/>
              <w:spacing w:line="300" w:lineRule="exact"/>
              <w:rPr>
                <w:rFonts w:hint="eastAsia" w:ascii="仿宋" w:hAnsi="仿宋" w:eastAsia="仿宋" w:cs="仿宋"/>
                <w:kern w:val="0"/>
                <w:sz w:val="24"/>
              </w:rPr>
            </w:pPr>
            <w:r>
              <w:rPr>
                <w:rFonts w:hint="eastAsia" w:ascii="仿宋" w:hAnsi="仿宋" w:eastAsia="仿宋" w:cs="仿宋"/>
                <w:kern w:val="0"/>
                <w:sz w:val="24"/>
              </w:rPr>
              <w:t>23.关爱留守儿童</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2486421F">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1.落实属地管理责任，建立家庭、政府、学校尽职尽责，社会力量积极参与的农村留守儿童关爱保护工作体系</w:t>
            </w:r>
            <w:r>
              <w:rPr>
                <w:rFonts w:hint="eastAsia" w:ascii="仿宋" w:hAnsi="仿宋" w:eastAsia="仿宋" w:cs="仿宋"/>
                <w:kern w:val="0"/>
                <w:sz w:val="24"/>
                <w:lang w:eastAsia="zh-CN"/>
              </w:rPr>
              <w:t>（</w:t>
            </w:r>
            <w:r>
              <w:rPr>
                <w:rFonts w:hint="eastAsia" w:ascii="仿宋" w:hAnsi="仿宋" w:eastAsia="仿宋" w:cs="仿宋"/>
                <w:kern w:val="0"/>
                <w:sz w:val="24"/>
              </w:rPr>
              <w:t>3分</w:t>
            </w:r>
            <w:r>
              <w:rPr>
                <w:rFonts w:hint="eastAsia" w:ascii="仿宋" w:hAnsi="仿宋" w:eastAsia="仿宋" w:cs="仿宋"/>
                <w:kern w:val="0"/>
                <w:sz w:val="24"/>
                <w:lang w:eastAsia="zh-CN"/>
              </w:rPr>
              <w:t>）</w:t>
            </w:r>
            <w:r>
              <w:rPr>
                <w:rFonts w:hint="eastAsia" w:ascii="仿宋" w:hAnsi="仿宋" w:eastAsia="仿宋" w:cs="仿宋"/>
                <w:kern w:val="0"/>
                <w:sz w:val="24"/>
              </w:rPr>
              <w:t>；</w:t>
            </w:r>
          </w:p>
          <w:p w14:paraId="7ABFDFAC">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2.留守儿童</w:t>
            </w:r>
            <w:r>
              <w:rPr>
                <w:rFonts w:hint="eastAsia" w:ascii="仿宋" w:hAnsi="仿宋" w:eastAsia="仿宋" w:cs="仿宋"/>
                <w:kern w:val="0"/>
                <w:sz w:val="24"/>
                <w:lang w:eastAsia="zh-CN"/>
              </w:rPr>
              <w:t>管理台账</w:t>
            </w:r>
            <w:r>
              <w:rPr>
                <w:rFonts w:hint="eastAsia" w:ascii="仿宋" w:hAnsi="仿宋" w:eastAsia="仿宋" w:cs="仿宋"/>
                <w:kern w:val="0"/>
                <w:sz w:val="24"/>
              </w:rPr>
              <w:t>清楚明确（2分）；</w:t>
            </w:r>
          </w:p>
          <w:p w14:paraId="610A1F65">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3.关爱制度落实，关爱活动经常（3分）。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C3D1121">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0B0989C2">
            <w:pPr>
              <w:widowControl/>
              <w:jc w:val="center"/>
              <w:rPr>
                <w:rFonts w:hint="eastAsia" w:ascii="仿宋" w:hAnsi="仿宋" w:eastAsia="仿宋" w:cs="仿宋"/>
                <w:kern w:val="0"/>
                <w:sz w:val="24"/>
              </w:rPr>
            </w:pPr>
            <w:r>
              <w:rPr>
                <w:rFonts w:hint="eastAsia" w:ascii="仿宋" w:hAnsi="仿宋" w:eastAsia="仿宋" w:cs="仿宋"/>
                <w:kern w:val="0"/>
                <w:sz w:val="24"/>
              </w:rPr>
              <w:t>（8分）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0C1A598">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区民政局、各乡镇（街道）</w:t>
            </w:r>
          </w:p>
        </w:tc>
      </w:tr>
      <w:tr w14:paraId="70C8DABB">
        <w:tblPrEx>
          <w:tblCellMar>
            <w:top w:w="0" w:type="dxa"/>
            <w:left w:w="108" w:type="dxa"/>
            <w:bottom w:w="0" w:type="dxa"/>
            <w:right w:w="108" w:type="dxa"/>
          </w:tblCellMar>
        </w:tblPrEx>
        <w:trPr>
          <w:trHeight w:val="969" w:hRule="atLeast"/>
        </w:trPr>
        <w:tc>
          <w:tcPr>
            <w:tcW w:w="789" w:type="dxa"/>
            <w:vMerge w:val="continue"/>
            <w:tcBorders>
              <w:left w:val="single" w:color="auto" w:sz="4" w:space="0"/>
              <w:right w:val="single" w:color="auto" w:sz="4" w:space="0"/>
            </w:tcBorders>
            <w:noWrap w:val="0"/>
            <w:vAlign w:val="center"/>
          </w:tcPr>
          <w:p w14:paraId="18474645">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077699C8">
            <w:pPr>
              <w:widowControl/>
              <w:spacing w:line="300" w:lineRule="exact"/>
              <w:rPr>
                <w:rFonts w:hint="eastAsia" w:ascii="仿宋" w:hAnsi="仿宋" w:eastAsia="仿宋" w:cs="仿宋"/>
                <w:kern w:val="0"/>
                <w:sz w:val="24"/>
              </w:rPr>
            </w:pPr>
            <w:r>
              <w:rPr>
                <w:rFonts w:hint="eastAsia" w:ascii="仿宋" w:hAnsi="仿宋" w:eastAsia="仿宋" w:cs="仿宋"/>
                <w:kern w:val="0"/>
                <w:sz w:val="24"/>
              </w:rPr>
              <w:t>24.随迁子女就读</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3EC17917">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1.全县符合条件的随迁子女在公办学校和政府购买服务的民办学校就读的比例不低于85%。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0DCF842">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0DA1CC97">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区民政局、各乡镇（街道）</w:t>
            </w:r>
          </w:p>
        </w:tc>
      </w:tr>
      <w:tr w14:paraId="0C07FC8C">
        <w:tblPrEx>
          <w:tblCellMar>
            <w:top w:w="0" w:type="dxa"/>
            <w:left w:w="108" w:type="dxa"/>
            <w:bottom w:w="0" w:type="dxa"/>
            <w:right w:w="108" w:type="dxa"/>
          </w:tblCellMar>
        </w:tblPrEx>
        <w:trPr>
          <w:trHeight w:val="1237" w:hRule="atLeast"/>
        </w:trPr>
        <w:tc>
          <w:tcPr>
            <w:tcW w:w="789" w:type="dxa"/>
            <w:vMerge w:val="continue"/>
            <w:tcBorders>
              <w:left w:val="single" w:color="auto" w:sz="4" w:space="0"/>
              <w:bottom w:val="single" w:color="auto" w:sz="4" w:space="0"/>
              <w:right w:val="single" w:color="auto" w:sz="4" w:space="0"/>
            </w:tcBorders>
            <w:noWrap w:val="0"/>
            <w:vAlign w:val="center"/>
          </w:tcPr>
          <w:p w14:paraId="327ABA74">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763484F">
            <w:pPr>
              <w:widowControl/>
              <w:spacing w:line="300" w:lineRule="exact"/>
              <w:rPr>
                <w:rFonts w:hint="eastAsia" w:ascii="仿宋" w:hAnsi="仿宋" w:eastAsia="仿宋" w:cs="仿宋"/>
                <w:kern w:val="0"/>
                <w:sz w:val="24"/>
              </w:rPr>
            </w:pPr>
            <w:r>
              <w:rPr>
                <w:rFonts w:hint="eastAsia" w:ascii="仿宋" w:hAnsi="仿宋" w:eastAsia="仿宋" w:cs="仿宋"/>
                <w:kern w:val="0"/>
                <w:sz w:val="24"/>
              </w:rPr>
              <w:t>25.精准教育扶贫</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38C6BC4B">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1.落实学校校长和乡镇属地教育扶贫政策双负责制；</w:t>
            </w:r>
          </w:p>
          <w:p w14:paraId="688BE584">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2.及时足额发放农村建档立卡寄宿生生活补助；</w:t>
            </w:r>
          </w:p>
          <w:p w14:paraId="145E38F6">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3.营养改善计划试点县全覆盖，推广“兴国模式”。</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1C1198F">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464152D">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区民政局，各乡镇（街道）、区教体局</w:t>
            </w:r>
          </w:p>
        </w:tc>
      </w:tr>
      <w:tr w14:paraId="625A6C04">
        <w:tblPrEx>
          <w:tblCellMar>
            <w:top w:w="0" w:type="dxa"/>
            <w:left w:w="108" w:type="dxa"/>
            <w:bottom w:w="0" w:type="dxa"/>
            <w:right w:w="108" w:type="dxa"/>
          </w:tblCellMar>
        </w:tblPrEx>
        <w:trPr>
          <w:trHeight w:val="646" w:hRule="atLeast"/>
        </w:trPr>
        <w:tc>
          <w:tcPr>
            <w:tcW w:w="789" w:type="dxa"/>
            <w:vMerge w:val="restart"/>
            <w:tcBorders>
              <w:top w:val="single" w:color="auto" w:sz="4" w:space="0"/>
              <w:left w:val="single" w:color="auto" w:sz="4" w:space="0"/>
              <w:bottom w:val="single" w:color="auto" w:sz="4" w:space="0"/>
              <w:right w:val="single" w:color="auto" w:sz="4" w:space="0"/>
            </w:tcBorders>
            <w:noWrap w:val="0"/>
            <w:vAlign w:val="center"/>
          </w:tcPr>
          <w:p w14:paraId="6EFE4396">
            <w:pPr>
              <w:widowControl/>
              <w:jc w:val="center"/>
              <w:rPr>
                <w:rFonts w:hint="eastAsia" w:ascii="仿宋" w:hAnsi="仿宋" w:eastAsia="仿宋" w:cs="仿宋"/>
                <w:b/>
                <w:kern w:val="0"/>
                <w:sz w:val="24"/>
              </w:rPr>
            </w:pPr>
            <w:r>
              <w:rPr>
                <w:rFonts w:hint="eastAsia" w:ascii="仿宋" w:hAnsi="仿宋" w:eastAsia="仿宋" w:cs="仿宋"/>
                <w:b/>
                <w:kern w:val="0"/>
                <w:sz w:val="24"/>
              </w:rPr>
              <w:t>教育</w:t>
            </w:r>
          </w:p>
          <w:p w14:paraId="2E7695C2">
            <w:pPr>
              <w:widowControl/>
              <w:jc w:val="center"/>
              <w:rPr>
                <w:rFonts w:hint="eastAsia" w:ascii="仿宋" w:hAnsi="仿宋" w:eastAsia="仿宋" w:cs="仿宋"/>
                <w:b/>
                <w:kern w:val="0"/>
                <w:sz w:val="24"/>
              </w:rPr>
            </w:pPr>
            <w:r>
              <w:rPr>
                <w:rFonts w:hint="eastAsia" w:ascii="仿宋" w:hAnsi="仿宋" w:eastAsia="仿宋" w:cs="仿宋"/>
                <w:b/>
                <w:kern w:val="0"/>
                <w:sz w:val="24"/>
              </w:rPr>
              <w:t>质量</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995C2DA">
            <w:pPr>
              <w:widowControl/>
              <w:rPr>
                <w:rFonts w:hint="eastAsia" w:ascii="仿宋" w:hAnsi="仿宋" w:eastAsia="仿宋" w:cs="仿宋"/>
                <w:kern w:val="0"/>
                <w:sz w:val="24"/>
              </w:rPr>
            </w:pPr>
            <w:r>
              <w:rPr>
                <w:rFonts w:hint="eastAsia" w:ascii="仿宋" w:hAnsi="仿宋" w:eastAsia="仿宋" w:cs="仿宋"/>
                <w:kern w:val="0"/>
                <w:sz w:val="24"/>
              </w:rPr>
              <w:t>26.初中三年巩固率</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9779EC5">
            <w:pPr>
              <w:widowControl/>
              <w:jc w:val="left"/>
              <w:rPr>
                <w:rFonts w:hint="eastAsia" w:ascii="仿宋" w:hAnsi="仿宋" w:eastAsia="仿宋" w:cs="仿宋"/>
                <w:kern w:val="0"/>
                <w:sz w:val="24"/>
              </w:rPr>
            </w:pPr>
            <w:r>
              <w:rPr>
                <w:rFonts w:hint="eastAsia" w:ascii="仿宋" w:hAnsi="仿宋" w:eastAsia="仿宋" w:cs="仿宋"/>
                <w:kern w:val="0"/>
                <w:sz w:val="24"/>
              </w:rPr>
              <w:t>1.控辍保学措施落实，成效显著，初中三年巩固率达到95%以上。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5E84B80">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69EB60F">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52B6278B">
        <w:tblPrEx>
          <w:tblCellMar>
            <w:top w:w="0" w:type="dxa"/>
            <w:left w:w="108" w:type="dxa"/>
            <w:bottom w:w="0" w:type="dxa"/>
            <w:right w:w="108" w:type="dxa"/>
          </w:tblCellMar>
        </w:tblPrEx>
        <w:trPr>
          <w:trHeight w:val="646"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21243DA8">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209B480">
            <w:pPr>
              <w:widowControl/>
              <w:rPr>
                <w:rFonts w:hint="eastAsia" w:ascii="仿宋" w:hAnsi="仿宋" w:eastAsia="仿宋" w:cs="仿宋"/>
                <w:kern w:val="0"/>
                <w:sz w:val="24"/>
              </w:rPr>
            </w:pPr>
            <w:r>
              <w:rPr>
                <w:rFonts w:hint="eastAsia" w:ascii="仿宋" w:hAnsi="仿宋" w:eastAsia="仿宋" w:cs="仿宋"/>
                <w:kern w:val="0"/>
                <w:sz w:val="24"/>
              </w:rPr>
              <w:t>27.残疾儿童少年入学率</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49716783">
            <w:pPr>
              <w:widowControl/>
              <w:rPr>
                <w:rFonts w:hint="eastAsia" w:ascii="仿宋" w:hAnsi="仿宋" w:eastAsia="仿宋" w:cs="仿宋"/>
                <w:kern w:val="0"/>
                <w:sz w:val="24"/>
              </w:rPr>
            </w:pPr>
            <w:r>
              <w:rPr>
                <w:rFonts w:hint="eastAsia" w:ascii="仿宋" w:hAnsi="仿宋" w:eastAsia="仿宋" w:cs="仿宋"/>
                <w:kern w:val="0"/>
                <w:sz w:val="24"/>
              </w:rPr>
              <w:t>1.残疾儿童少年入学率达到95%以上。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EDE070B">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CA29EAC">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区残联、区教体局</w:t>
            </w:r>
          </w:p>
        </w:tc>
      </w:tr>
      <w:tr w14:paraId="3C09B558">
        <w:tblPrEx>
          <w:tblCellMar>
            <w:top w:w="0" w:type="dxa"/>
            <w:left w:w="108" w:type="dxa"/>
            <w:bottom w:w="0" w:type="dxa"/>
            <w:right w:w="108" w:type="dxa"/>
          </w:tblCellMar>
        </w:tblPrEx>
        <w:trPr>
          <w:trHeight w:val="1554"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3B62ED0C">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CAC67FF">
            <w:pPr>
              <w:widowControl/>
              <w:rPr>
                <w:rFonts w:hint="eastAsia" w:ascii="仿宋" w:hAnsi="仿宋" w:eastAsia="仿宋" w:cs="仿宋"/>
                <w:kern w:val="0"/>
                <w:sz w:val="24"/>
              </w:rPr>
            </w:pPr>
            <w:r>
              <w:rPr>
                <w:rFonts w:hint="eastAsia" w:ascii="仿宋" w:hAnsi="仿宋" w:eastAsia="仿宋" w:cs="仿宋"/>
                <w:kern w:val="0"/>
                <w:sz w:val="24"/>
              </w:rPr>
              <w:t>28.校长依法治校</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1FAB02E0">
            <w:pPr>
              <w:widowControl/>
              <w:spacing w:line="340" w:lineRule="exact"/>
              <w:jc w:val="left"/>
              <w:rPr>
                <w:rFonts w:hint="eastAsia" w:ascii="仿宋" w:hAnsi="仿宋" w:eastAsia="仿宋" w:cs="仿宋"/>
                <w:kern w:val="0"/>
                <w:sz w:val="24"/>
                <w:lang w:eastAsia="zh-CN"/>
              </w:rPr>
            </w:pPr>
            <w:r>
              <w:rPr>
                <w:rFonts w:hint="eastAsia" w:ascii="仿宋" w:hAnsi="仿宋" w:eastAsia="仿宋" w:cs="仿宋"/>
                <w:kern w:val="0"/>
                <w:sz w:val="24"/>
              </w:rPr>
              <w:t>1.所有学校制定章程（3分）；</w:t>
            </w:r>
          </w:p>
          <w:p w14:paraId="7A54BB9B">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2.所有学校以章程为纲领完善各项管理制度，形成健全、规范、统一的制度体系，不断完善学校治理结构（3分）；</w:t>
            </w:r>
          </w:p>
          <w:p w14:paraId="1DAE7694">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3.师德师风考评体系健全，教师从教行为规范（3分）。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F3BFB21">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0DA534E5">
            <w:pPr>
              <w:widowControl/>
              <w:jc w:val="center"/>
              <w:rPr>
                <w:rFonts w:hint="eastAsia" w:ascii="仿宋" w:hAnsi="仿宋" w:eastAsia="仿宋" w:cs="仿宋"/>
                <w:kern w:val="0"/>
                <w:sz w:val="24"/>
              </w:rPr>
            </w:pPr>
            <w:r>
              <w:rPr>
                <w:rFonts w:hint="eastAsia" w:ascii="仿宋" w:hAnsi="仿宋" w:eastAsia="仿宋" w:cs="仿宋"/>
                <w:kern w:val="0"/>
                <w:sz w:val="24"/>
              </w:rPr>
              <w:t>（9分）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78AC9F35">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14F19F6E">
        <w:tblPrEx>
          <w:tblCellMar>
            <w:top w:w="0" w:type="dxa"/>
            <w:left w:w="108" w:type="dxa"/>
            <w:bottom w:w="0" w:type="dxa"/>
            <w:right w:w="108" w:type="dxa"/>
          </w:tblCellMar>
        </w:tblPrEx>
        <w:trPr>
          <w:trHeight w:val="885"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1DD69D02">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21ECF0C8">
            <w:pPr>
              <w:widowControl/>
              <w:rPr>
                <w:rFonts w:hint="eastAsia" w:ascii="仿宋" w:hAnsi="仿宋" w:eastAsia="仿宋" w:cs="仿宋"/>
                <w:kern w:val="0"/>
                <w:sz w:val="24"/>
              </w:rPr>
            </w:pPr>
            <w:r>
              <w:rPr>
                <w:rFonts w:hint="eastAsia" w:ascii="仿宋" w:hAnsi="仿宋" w:eastAsia="仿宋" w:cs="仿宋"/>
                <w:kern w:val="0"/>
                <w:sz w:val="24"/>
              </w:rPr>
              <w:t>29.保障教师培训经费</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43F1F30E">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1.教师培训经费列入财政预算，并不低于学校年度公用经费预算总额的5%；</w:t>
            </w:r>
          </w:p>
          <w:p w14:paraId="2BF448E7">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2.建立教师培训组织协调管理机构，制定年度实施计划。</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E9B1BB3">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C3BC9B3">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区财政局、区教体局</w:t>
            </w:r>
          </w:p>
        </w:tc>
      </w:tr>
      <w:tr w14:paraId="20127F6F">
        <w:tblPrEx>
          <w:tblCellMar>
            <w:top w:w="0" w:type="dxa"/>
            <w:left w:w="108" w:type="dxa"/>
            <w:bottom w:w="0" w:type="dxa"/>
            <w:right w:w="108" w:type="dxa"/>
          </w:tblCellMar>
        </w:tblPrEx>
        <w:trPr>
          <w:trHeight w:val="1989"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11B5C58F">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58E230A7">
            <w:pPr>
              <w:widowControl/>
              <w:jc w:val="left"/>
              <w:rPr>
                <w:rFonts w:hint="eastAsia" w:ascii="仿宋" w:hAnsi="仿宋" w:eastAsia="仿宋" w:cs="仿宋"/>
                <w:kern w:val="0"/>
                <w:sz w:val="24"/>
              </w:rPr>
            </w:pPr>
            <w:r>
              <w:rPr>
                <w:rFonts w:hint="eastAsia" w:ascii="仿宋" w:hAnsi="仿宋" w:eastAsia="仿宋" w:cs="仿宋"/>
                <w:kern w:val="0"/>
                <w:sz w:val="24"/>
              </w:rPr>
              <w:t>30.开齐开足课程</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A3EE44E">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1.教学秩序规范，按国家课程计划开齐开足课程，课时总量符合课程计划要求（2分）</w:t>
            </w:r>
            <w:r>
              <w:rPr>
                <w:rFonts w:hint="eastAsia" w:ascii="仿宋" w:hAnsi="仿宋" w:eastAsia="仿宋" w:cs="仿宋"/>
                <w:kern w:val="0"/>
                <w:sz w:val="24"/>
                <w:lang w:eastAsia="zh-CN"/>
              </w:rPr>
              <w:t>；</w:t>
            </w:r>
          </w:p>
          <w:p w14:paraId="06F8933C">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所有义务教育学校（含教学点）均能按照《中小学综合实践活动课程指导纲要》要求，组织学生开展综合实践活动，小学1-2年级，平均每周不少于1课时，小学3-6年级和初中，平均每周不少于2课时，成效明显（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9DCCAF2">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1498E0C3">
            <w:pPr>
              <w:widowControl/>
              <w:jc w:val="center"/>
              <w:rPr>
                <w:rFonts w:hint="eastAsia" w:ascii="仿宋" w:hAnsi="仿宋" w:eastAsia="仿宋" w:cs="仿宋"/>
                <w:kern w:val="0"/>
                <w:sz w:val="24"/>
              </w:rPr>
            </w:pPr>
            <w:r>
              <w:rPr>
                <w:rFonts w:hint="eastAsia" w:ascii="仿宋" w:hAnsi="仿宋" w:eastAsia="仿宋" w:cs="仿宋"/>
                <w:kern w:val="0"/>
                <w:sz w:val="24"/>
              </w:rPr>
              <w:t>（5分）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4C923B0">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bl>
    <w:p w14:paraId="4230CC96">
      <w:pPr>
        <w:rPr>
          <w:rFonts w:hint="eastAsia" w:ascii="仿宋" w:hAnsi="仿宋" w:eastAsia="仿宋" w:cs="仿宋"/>
        </w:rPr>
      </w:pPr>
    </w:p>
    <w:tbl>
      <w:tblPr>
        <w:tblStyle w:val="6"/>
        <w:tblW w:w="14708" w:type="dxa"/>
        <w:tblInd w:w="0" w:type="dxa"/>
        <w:tblLayout w:type="fixed"/>
        <w:tblCellMar>
          <w:top w:w="0" w:type="dxa"/>
          <w:left w:w="108" w:type="dxa"/>
          <w:bottom w:w="0" w:type="dxa"/>
          <w:right w:w="108" w:type="dxa"/>
        </w:tblCellMar>
      </w:tblPr>
      <w:tblGrid>
        <w:gridCol w:w="789"/>
        <w:gridCol w:w="2848"/>
        <w:gridCol w:w="8124"/>
        <w:gridCol w:w="721"/>
        <w:gridCol w:w="2226"/>
      </w:tblGrid>
      <w:tr w14:paraId="6BC5A868">
        <w:tblPrEx>
          <w:tblCellMar>
            <w:top w:w="0" w:type="dxa"/>
            <w:left w:w="108" w:type="dxa"/>
            <w:bottom w:w="0" w:type="dxa"/>
            <w:right w:w="108" w:type="dxa"/>
          </w:tblCellMar>
        </w:tblPrEx>
        <w:trPr>
          <w:trHeight w:val="2241" w:hRule="atLeast"/>
        </w:trPr>
        <w:tc>
          <w:tcPr>
            <w:tcW w:w="789" w:type="dxa"/>
            <w:vMerge w:val="restart"/>
            <w:tcBorders>
              <w:top w:val="single" w:color="auto" w:sz="4" w:space="0"/>
              <w:left w:val="single" w:color="auto" w:sz="4" w:space="0"/>
              <w:right w:val="single" w:color="auto" w:sz="4" w:space="0"/>
            </w:tcBorders>
            <w:noWrap w:val="0"/>
            <w:vAlign w:val="center"/>
          </w:tcPr>
          <w:p w14:paraId="798B4E66">
            <w:pPr>
              <w:widowControl/>
              <w:jc w:val="center"/>
              <w:rPr>
                <w:rFonts w:hint="eastAsia" w:ascii="仿宋" w:hAnsi="仿宋" w:eastAsia="仿宋" w:cs="仿宋"/>
                <w:b/>
                <w:kern w:val="0"/>
                <w:sz w:val="24"/>
              </w:rPr>
            </w:pPr>
            <w:r>
              <w:rPr>
                <w:rFonts w:hint="eastAsia" w:ascii="仿宋" w:hAnsi="仿宋" w:eastAsia="仿宋" w:cs="仿宋"/>
                <w:b/>
                <w:kern w:val="0"/>
                <w:sz w:val="24"/>
              </w:rPr>
              <w:t>教育</w:t>
            </w:r>
          </w:p>
          <w:p w14:paraId="0B519EF8">
            <w:pPr>
              <w:jc w:val="center"/>
              <w:rPr>
                <w:rFonts w:hint="eastAsia" w:ascii="仿宋" w:hAnsi="仿宋" w:eastAsia="仿宋" w:cs="仿宋"/>
                <w:kern w:val="0"/>
                <w:sz w:val="24"/>
              </w:rPr>
            </w:pPr>
            <w:r>
              <w:rPr>
                <w:rFonts w:hint="eastAsia" w:ascii="仿宋" w:hAnsi="仿宋" w:eastAsia="仿宋" w:cs="仿宋"/>
                <w:b/>
                <w:kern w:val="0"/>
                <w:sz w:val="24"/>
              </w:rPr>
              <w:t>质量</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0E1C3B8">
            <w:pPr>
              <w:widowControl/>
              <w:jc w:val="left"/>
              <w:rPr>
                <w:rFonts w:hint="eastAsia" w:ascii="仿宋" w:hAnsi="仿宋" w:eastAsia="仿宋" w:cs="仿宋"/>
                <w:kern w:val="0"/>
                <w:sz w:val="24"/>
              </w:rPr>
            </w:pPr>
            <w:r>
              <w:rPr>
                <w:rFonts w:hint="eastAsia" w:ascii="仿宋" w:hAnsi="仿宋" w:eastAsia="仿宋" w:cs="仿宋"/>
                <w:kern w:val="0"/>
                <w:sz w:val="24"/>
              </w:rPr>
              <w:t>31.减轻课业负担</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5A2A047F">
            <w:pPr>
              <w:widowControl/>
              <w:spacing w:line="300" w:lineRule="exact"/>
              <w:rPr>
                <w:rFonts w:hint="eastAsia" w:ascii="仿宋" w:hAnsi="仿宋" w:eastAsia="仿宋" w:cs="仿宋"/>
                <w:kern w:val="0"/>
                <w:sz w:val="24"/>
              </w:rPr>
            </w:pPr>
            <w:r>
              <w:rPr>
                <w:rFonts w:hint="eastAsia" w:ascii="仿宋" w:hAnsi="仿宋" w:eastAsia="仿宋" w:cs="仿宋"/>
                <w:kern w:val="0"/>
                <w:sz w:val="24"/>
              </w:rPr>
              <w:t>1.建立义务教育学校学生减负机制（2分）；</w:t>
            </w:r>
          </w:p>
          <w:p w14:paraId="676CA88B">
            <w:pPr>
              <w:widowControl/>
              <w:spacing w:line="300" w:lineRule="exact"/>
              <w:rPr>
                <w:rFonts w:hint="eastAsia" w:ascii="仿宋" w:hAnsi="仿宋" w:eastAsia="仿宋" w:cs="仿宋"/>
                <w:kern w:val="0"/>
                <w:sz w:val="24"/>
              </w:rPr>
            </w:pPr>
            <w:r>
              <w:rPr>
                <w:rFonts w:hint="eastAsia" w:ascii="仿宋" w:hAnsi="仿宋" w:eastAsia="仿宋" w:cs="仿宋"/>
                <w:kern w:val="0"/>
                <w:sz w:val="24"/>
              </w:rPr>
              <w:t>2.小学一、二年级不留书面家庭作业，小学其他年级书面家庭作业控制在60分钟以内（2分）；</w:t>
            </w:r>
          </w:p>
          <w:p w14:paraId="1E5ADD2E">
            <w:pPr>
              <w:widowControl/>
              <w:spacing w:line="300" w:lineRule="exact"/>
              <w:rPr>
                <w:rFonts w:hint="eastAsia" w:ascii="仿宋" w:hAnsi="仿宋" w:eastAsia="仿宋" w:cs="仿宋"/>
                <w:kern w:val="0"/>
                <w:sz w:val="24"/>
              </w:rPr>
            </w:pPr>
            <w:r>
              <w:rPr>
                <w:rFonts w:hint="eastAsia" w:ascii="仿宋" w:hAnsi="仿宋" w:eastAsia="仿宋" w:cs="仿宋"/>
                <w:kern w:val="0"/>
                <w:sz w:val="24"/>
              </w:rPr>
              <w:t>3.初中各年级书面家庭作业不超过90分钟（2分）；</w:t>
            </w:r>
          </w:p>
          <w:p w14:paraId="3C6837D4">
            <w:pPr>
              <w:widowControl/>
              <w:spacing w:line="300" w:lineRule="exact"/>
              <w:rPr>
                <w:rFonts w:hint="eastAsia" w:ascii="仿宋" w:hAnsi="仿宋" w:eastAsia="仿宋" w:cs="仿宋"/>
                <w:kern w:val="0"/>
                <w:sz w:val="24"/>
              </w:rPr>
            </w:pPr>
            <w:r>
              <w:rPr>
                <w:rFonts w:hint="eastAsia" w:ascii="仿宋" w:hAnsi="仿宋" w:eastAsia="仿宋" w:cs="仿宋"/>
                <w:kern w:val="0"/>
                <w:sz w:val="24"/>
              </w:rPr>
              <w:t>4.“一科一辅”，无违规推荐、选用教辅材料的现象（2分）；</w:t>
            </w:r>
          </w:p>
          <w:p w14:paraId="0E82AA90">
            <w:pPr>
              <w:widowControl/>
              <w:spacing w:line="300" w:lineRule="exact"/>
              <w:rPr>
                <w:rFonts w:hint="eastAsia" w:ascii="仿宋" w:hAnsi="仿宋" w:eastAsia="仿宋" w:cs="仿宋"/>
                <w:kern w:val="0"/>
                <w:sz w:val="24"/>
              </w:rPr>
            </w:pPr>
            <w:r>
              <w:rPr>
                <w:rFonts w:hint="eastAsia" w:ascii="仿宋" w:hAnsi="仿宋" w:eastAsia="仿宋" w:cs="仿宋"/>
                <w:kern w:val="0"/>
                <w:sz w:val="24"/>
              </w:rPr>
              <w:t>5.严格教学进度和考试次数管理（2分）；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54B0782">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1F675813">
            <w:pPr>
              <w:widowControl/>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72E7A367">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60D8F758">
        <w:tblPrEx>
          <w:tblCellMar>
            <w:top w:w="0" w:type="dxa"/>
            <w:left w:w="108" w:type="dxa"/>
            <w:bottom w:w="0" w:type="dxa"/>
            <w:right w:w="108" w:type="dxa"/>
          </w:tblCellMar>
        </w:tblPrEx>
        <w:trPr>
          <w:trHeight w:val="1541" w:hRule="atLeast"/>
        </w:trPr>
        <w:tc>
          <w:tcPr>
            <w:tcW w:w="789" w:type="dxa"/>
            <w:vMerge w:val="continue"/>
            <w:tcBorders>
              <w:left w:val="single" w:color="auto" w:sz="4" w:space="0"/>
              <w:bottom w:val="single" w:color="auto" w:sz="4" w:space="0"/>
              <w:right w:val="single" w:color="auto" w:sz="4" w:space="0"/>
            </w:tcBorders>
            <w:noWrap w:val="0"/>
            <w:vAlign w:val="center"/>
          </w:tcPr>
          <w:p w14:paraId="7DFB0DEF">
            <w:pPr>
              <w:widowControl/>
              <w:jc w:val="center"/>
              <w:rPr>
                <w:rFonts w:hint="eastAsia" w:ascii="仿宋" w:hAnsi="仿宋" w:eastAsia="仿宋" w:cs="仿宋"/>
                <w:b/>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6A14115">
            <w:pPr>
              <w:widowControl/>
              <w:spacing w:line="300" w:lineRule="exact"/>
              <w:rPr>
                <w:rFonts w:hint="eastAsia" w:ascii="仿宋" w:hAnsi="仿宋" w:eastAsia="仿宋" w:cs="仿宋"/>
                <w:kern w:val="0"/>
                <w:sz w:val="24"/>
              </w:rPr>
            </w:pPr>
            <w:r>
              <w:rPr>
                <w:rFonts w:hint="eastAsia" w:ascii="仿宋" w:hAnsi="仿宋" w:eastAsia="仿宋" w:cs="仿宋"/>
                <w:kern w:val="0"/>
                <w:sz w:val="24"/>
              </w:rPr>
              <w:t>32.开展国家义务教育</w:t>
            </w:r>
          </w:p>
          <w:p w14:paraId="733AA6AB">
            <w:pPr>
              <w:widowControl/>
              <w:spacing w:line="300" w:lineRule="exact"/>
              <w:rPr>
                <w:rFonts w:hint="eastAsia" w:ascii="仿宋" w:hAnsi="仿宋" w:eastAsia="仿宋" w:cs="仿宋"/>
                <w:kern w:val="0"/>
                <w:sz w:val="24"/>
              </w:rPr>
            </w:pPr>
            <w:r>
              <w:rPr>
                <w:rFonts w:hint="eastAsia" w:ascii="仿宋" w:hAnsi="仿宋" w:eastAsia="仿宋" w:cs="仿宋"/>
                <w:kern w:val="0"/>
                <w:sz w:val="24"/>
              </w:rPr>
              <w:t>质量监测</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D3B0335">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1.近3年参加过国家义务教育质量监测，相关科目学业水平达到III级以上，在国家义务教育质量监测中校际差异率低于0.15；</w:t>
            </w:r>
          </w:p>
          <w:p w14:paraId="18528814">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2.建立质量监测工作机制，切实提高区域教育质量。</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5C10997">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468D1E8">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57EB216A">
        <w:tblPrEx>
          <w:tblCellMar>
            <w:top w:w="0" w:type="dxa"/>
            <w:left w:w="108" w:type="dxa"/>
            <w:bottom w:w="0" w:type="dxa"/>
            <w:right w:w="108" w:type="dxa"/>
          </w:tblCellMar>
        </w:tblPrEx>
        <w:trPr>
          <w:trHeight w:val="4029" w:hRule="atLeast"/>
        </w:trPr>
        <w:tc>
          <w:tcPr>
            <w:tcW w:w="789" w:type="dxa"/>
            <w:vMerge w:val="restart"/>
            <w:tcBorders>
              <w:top w:val="single" w:color="auto" w:sz="4" w:space="0"/>
              <w:left w:val="single" w:color="auto" w:sz="4" w:space="0"/>
              <w:bottom w:val="single" w:color="auto" w:sz="4" w:space="0"/>
              <w:right w:val="single" w:color="auto" w:sz="4" w:space="0"/>
            </w:tcBorders>
            <w:noWrap w:val="0"/>
            <w:vAlign w:val="center"/>
          </w:tcPr>
          <w:p w14:paraId="4F15E5F4">
            <w:pPr>
              <w:widowControl/>
              <w:jc w:val="center"/>
              <w:rPr>
                <w:rFonts w:hint="eastAsia" w:ascii="仿宋" w:hAnsi="仿宋" w:eastAsia="仿宋" w:cs="仿宋"/>
                <w:b/>
                <w:kern w:val="0"/>
                <w:sz w:val="24"/>
              </w:rPr>
            </w:pPr>
            <w:r>
              <w:rPr>
                <w:rFonts w:hint="eastAsia" w:ascii="仿宋" w:hAnsi="仿宋" w:eastAsia="仿宋" w:cs="仿宋"/>
                <w:b/>
                <w:kern w:val="0"/>
                <w:sz w:val="24"/>
              </w:rPr>
              <w:t>内</w:t>
            </w:r>
          </w:p>
          <w:p w14:paraId="19E318A7">
            <w:pPr>
              <w:widowControl/>
              <w:jc w:val="center"/>
              <w:rPr>
                <w:rFonts w:hint="eastAsia" w:ascii="仿宋" w:hAnsi="仿宋" w:eastAsia="仿宋" w:cs="仿宋"/>
                <w:b/>
                <w:kern w:val="0"/>
                <w:sz w:val="24"/>
              </w:rPr>
            </w:pPr>
            <w:r>
              <w:rPr>
                <w:rFonts w:hint="eastAsia" w:ascii="仿宋" w:hAnsi="仿宋" w:eastAsia="仿宋" w:cs="仿宋"/>
                <w:b/>
                <w:kern w:val="0"/>
                <w:sz w:val="24"/>
              </w:rPr>
              <w:t>涵</w:t>
            </w:r>
          </w:p>
          <w:p w14:paraId="51A2D588">
            <w:pPr>
              <w:widowControl/>
              <w:jc w:val="center"/>
              <w:rPr>
                <w:rFonts w:hint="eastAsia" w:ascii="仿宋" w:hAnsi="仿宋" w:eastAsia="仿宋" w:cs="仿宋"/>
                <w:b/>
                <w:kern w:val="0"/>
                <w:sz w:val="24"/>
              </w:rPr>
            </w:pPr>
            <w:r>
              <w:rPr>
                <w:rFonts w:hint="eastAsia" w:ascii="仿宋" w:hAnsi="仿宋" w:eastAsia="仿宋" w:cs="仿宋"/>
                <w:b/>
                <w:kern w:val="0"/>
                <w:sz w:val="24"/>
              </w:rPr>
              <w:t>发</w:t>
            </w:r>
          </w:p>
          <w:p w14:paraId="32E6BD0B">
            <w:pPr>
              <w:widowControl/>
              <w:jc w:val="center"/>
              <w:rPr>
                <w:rFonts w:hint="eastAsia" w:ascii="仿宋" w:hAnsi="仿宋" w:eastAsia="仿宋" w:cs="仿宋"/>
                <w:b/>
                <w:kern w:val="0"/>
                <w:sz w:val="24"/>
              </w:rPr>
            </w:pPr>
            <w:r>
              <w:rPr>
                <w:rFonts w:hint="eastAsia" w:ascii="仿宋" w:hAnsi="仿宋" w:eastAsia="仿宋" w:cs="仿宋"/>
                <w:b/>
                <w:kern w:val="0"/>
                <w:sz w:val="24"/>
              </w:rPr>
              <w:t>展</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776CCD2">
            <w:pPr>
              <w:widowControl/>
              <w:rPr>
                <w:rFonts w:hint="eastAsia" w:ascii="仿宋" w:hAnsi="仿宋" w:eastAsia="仿宋" w:cs="仿宋"/>
                <w:kern w:val="0"/>
                <w:sz w:val="24"/>
              </w:rPr>
            </w:pPr>
            <w:r>
              <w:rPr>
                <w:rFonts w:hint="eastAsia" w:ascii="仿宋" w:hAnsi="仿宋" w:eastAsia="仿宋" w:cs="仿宋"/>
                <w:kern w:val="0"/>
                <w:sz w:val="24"/>
              </w:rPr>
              <w:t>33.加强学校德育工作</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24D9F931">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1.落实立德树人根本任务，把德育工作摆在首位，领导机制健全（2分）</w:t>
            </w:r>
            <w:r>
              <w:rPr>
                <w:rFonts w:hint="eastAsia" w:ascii="仿宋" w:hAnsi="仿宋" w:eastAsia="仿宋" w:cs="仿宋"/>
                <w:kern w:val="0"/>
                <w:sz w:val="24"/>
                <w:lang w:eastAsia="zh-CN"/>
              </w:rPr>
              <w:t>；</w:t>
            </w:r>
          </w:p>
          <w:p w14:paraId="1A3F89EF">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2.科学定位德育目标，深入开展理想信念、社会主义核心价值观、中华优秀传统文化、生态文明等教育，引导学生准确理解和把握社会主义核心价值观的深刻内涵和实践要求（2分）</w:t>
            </w:r>
            <w:r>
              <w:rPr>
                <w:rFonts w:hint="eastAsia" w:ascii="仿宋" w:hAnsi="仿宋" w:eastAsia="仿宋" w:cs="仿宋"/>
                <w:kern w:val="0"/>
                <w:sz w:val="24"/>
                <w:lang w:eastAsia="zh-CN"/>
              </w:rPr>
              <w:t>；</w:t>
            </w:r>
          </w:p>
          <w:p w14:paraId="6BF0AB64">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3.坚持德育与智育、体育、美育等有机融合，丰富德育载体，拓宽德育渠道，开展丰富的德育活动，提高德育成效（2分）</w:t>
            </w:r>
            <w:r>
              <w:rPr>
                <w:rFonts w:hint="eastAsia" w:ascii="仿宋" w:hAnsi="仿宋" w:eastAsia="仿宋" w:cs="仿宋"/>
                <w:kern w:val="0"/>
                <w:sz w:val="24"/>
                <w:lang w:eastAsia="zh-CN"/>
              </w:rPr>
              <w:t>；</w:t>
            </w:r>
          </w:p>
          <w:p w14:paraId="44639C9E">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4.紧密结合学生心理发展实际开展心理健康教育，心理健康室功能齐全（2分）；</w:t>
            </w:r>
          </w:p>
          <w:p w14:paraId="1CDB4A56">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5.建立学生综合素质评价机制，评价工作落实扎实，学生品德培养和习惯养成成效明显（2分）。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B6AE3E5">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37581528">
            <w:pPr>
              <w:widowControl/>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DFDD414">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区委宣传部、</w:t>
            </w:r>
          </w:p>
          <w:p w14:paraId="62397EEB">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乡镇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街道</w:t>
            </w:r>
          </w:p>
        </w:tc>
      </w:tr>
      <w:tr w14:paraId="2D5B594B">
        <w:tblPrEx>
          <w:tblCellMar>
            <w:top w:w="0" w:type="dxa"/>
            <w:left w:w="108" w:type="dxa"/>
            <w:bottom w:w="0" w:type="dxa"/>
            <w:right w:w="108" w:type="dxa"/>
          </w:tblCellMar>
        </w:tblPrEx>
        <w:trPr>
          <w:trHeight w:val="1352" w:hRule="atLeast"/>
        </w:trPr>
        <w:tc>
          <w:tcPr>
            <w:tcW w:w="789" w:type="dxa"/>
            <w:vMerge w:val="continue"/>
            <w:tcBorders>
              <w:left w:val="single" w:color="auto" w:sz="4" w:space="0"/>
              <w:bottom w:val="single" w:color="auto" w:sz="4" w:space="0"/>
              <w:right w:val="single" w:color="auto" w:sz="4" w:space="0"/>
            </w:tcBorders>
            <w:noWrap w:val="0"/>
            <w:vAlign w:val="center"/>
          </w:tcPr>
          <w:p w14:paraId="49F54E87">
            <w:pPr>
              <w:widowControl/>
              <w:jc w:val="center"/>
              <w:rPr>
                <w:rFonts w:hint="eastAsia" w:ascii="仿宋" w:hAnsi="仿宋" w:eastAsia="仿宋" w:cs="仿宋"/>
                <w:b/>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EF4822C">
            <w:pPr>
              <w:widowControl/>
              <w:spacing w:line="320" w:lineRule="exact"/>
              <w:rPr>
                <w:rFonts w:hint="eastAsia" w:ascii="仿宋" w:hAnsi="仿宋" w:eastAsia="仿宋" w:cs="仿宋"/>
                <w:kern w:val="0"/>
                <w:sz w:val="24"/>
              </w:rPr>
            </w:pPr>
            <w:r>
              <w:rPr>
                <w:rFonts w:hint="eastAsia" w:ascii="仿宋" w:hAnsi="仿宋" w:eastAsia="仿宋" w:cs="仿宋"/>
                <w:kern w:val="0"/>
                <w:sz w:val="24"/>
              </w:rPr>
              <w:t>34.校园文化建设</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7B61B0B">
            <w:pPr>
              <w:widowControl/>
              <w:spacing w:line="320" w:lineRule="exact"/>
              <w:jc w:val="left"/>
              <w:rPr>
                <w:rFonts w:hint="eastAsia" w:ascii="仿宋" w:hAnsi="仿宋" w:eastAsia="仿宋" w:cs="仿宋"/>
                <w:kern w:val="0"/>
                <w:sz w:val="24"/>
              </w:rPr>
            </w:pPr>
            <w:r>
              <w:rPr>
                <w:rFonts w:hint="eastAsia" w:ascii="仿宋" w:hAnsi="仿宋" w:eastAsia="仿宋" w:cs="仿宋"/>
                <w:kern w:val="0"/>
                <w:sz w:val="24"/>
              </w:rPr>
              <w:t>1.坚持开展文明校园或美丽校园创建活动（5分）；</w:t>
            </w:r>
          </w:p>
          <w:p w14:paraId="1DA3C7B6">
            <w:pPr>
              <w:widowControl/>
              <w:spacing w:line="320" w:lineRule="exact"/>
              <w:jc w:val="left"/>
              <w:rPr>
                <w:rFonts w:hint="eastAsia" w:ascii="仿宋" w:hAnsi="仿宋" w:eastAsia="仿宋" w:cs="仿宋"/>
                <w:kern w:val="0"/>
                <w:sz w:val="24"/>
              </w:rPr>
            </w:pPr>
            <w:r>
              <w:rPr>
                <w:rFonts w:hint="eastAsia" w:ascii="仿宋" w:hAnsi="仿宋" w:eastAsia="仿宋" w:cs="仿宋"/>
                <w:kern w:val="0"/>
                <w:sz w:val="24"/>
              </w:rPr>
              <w:t>2.学校内涵建设丰富，结合当地历史、人文、自然等资源开发校本课程，并定期开展活动。（5分）。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30183E4">
            <w:pPr>
              <w:widowControl/>
              <w:spacing w:line="320" w:lineRule="exact"/>
              <w:jc w:val="center"/>
              <w:rPr>
                <w:rFonts w:hint="eastAsia" w:ascii="仿宋" w:hAnsi="仿宋" w:eastAsia="仿宋" w:cs="仿宋"/>
                <w:kern w:val="0"/>
                <w:sz w:val="24"/>
              </w:rPr>
            </w:pPr>
            <w:r>
              <w:rPr>
                <w:rFonts w:hint="eastAsia" w:ascii="仿宋" w:hAnsi="仿宋" w:eastAsia="仿宋" w:cs="仿宋"/>
                <w:kern w:val="0"/>
                <w:sz w:val="24"/>
              </w:rPr>
              <w:t>B</w:t>
            </w:r>
          </w:p>
          <w:p w14:paraId="3485224A">
            <w:pPr>
              <w:widowControl/>
              <w:spacing w:line="320" w:lineRule="exact"/>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095089FB">
            <w:pPr>
              <w:widowControl/>
              <w:spacing w:line="320" w:lineRule="exact"/>
              <w:jc w:val="center"/>
              <w:rPr>
                <w:rFonts w:hint="default" w:ascii="仿宋" w:hAnsi="仿宋" w:eastAsia="FangSong_GB2312" w:cs="仿宋"/>
                <w:kern w:val="0"/>
                <w:sz w:val="24"/>
                <w:lang w:val="en-US" w:eastAsia="zh-CN"/>
              </w:rPr>
            </w:pPr>
            <w:r>
              <w:rPr>
                <w:rFonts w:hint="eastAsia" w:ascii="仿宋" w:hAnsi="仿宋" w:eastAsia="仿宋" w:cs="仿宋"/>
                <w:kern w:val="0"/>
                <w:sz w:val="24"/>
                <w:lang w:val="en-US" w:eastAsia="zh-CN"/>
              </w:rPr>
              <w:t>区</w:t>
            </w:r>
            <w:r>
              <w:rPr>
                <w:rFonts w:hint="eastAsia" w:ascii="仿宋" w:hAnsi="仿宋" w:eastAsia="仿宋" w:cs="仿宋"/>
                <w:kern w:val="0"/>
                <w:sz w:val="24"/>
              </w:rPr>
              <w:t>委宣传部</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教体局</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财政局</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乡镇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街道</w:t>
            </w:r>
          </w:p>
        </w:tc>
      </w:tr>
      <w:tr w14:paraId="5EC8DB3E">
        <w:tblPrEx>
          <w:tblCellMar>
            <w:top w:w="0" w:type="dxa"/>
            <w:left w:w="108" w:type="dxa"/>
            <w:bottom w:w="0" w:type="dxa"/>
            <w:right w:w="108" w:type="dxa"/>
          </w:tblCellMar>
        </w:tblPrEx>
        <w:trPr>
          <w:trHeight w:val="2395"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4024B023">
            <w:pPr>
              <w:widowControl/>
              <w:jc w:val="center"/>
              <w:rPr>
                <w:rFonts w:hint="eastAsia" w:ascii="仿宋" w:hAnsi="仿宋" w:eastAsia="仿宋" w:cs="仿宋"/>
                <w:b/>
                <w:kern w:val="0"/>
                <w:sz w:val="24"/>
              </w:rPr>
            </w:pPr>
            <w:r>
              <w:rPr>
                <w:rFonts w:hint="eastAsia" w:ascii="仿宋" w:hAnsi="仿宋" w:eastAsia="仿宋" w:cs="仿宋"/>
                <w:b/>
                <w:kern w:val="0"/>
                <w:sz w:val="24"/>
              </w:rPr>
              <w:t>内</w:t>
            </w:r>
          </w:p>
          <w:p w14:paraId="16A60DCD">
            <w:pPr>
              <w:widowControl/>
              <w:jc w:val="center"/>
              <w:rPr>
                <w:rFonts w:hint="eastAsia" w:ascii="仿宋" w:hAnsi="仿宋" w:eastAsia="仿宋" w:cs="仿宋"/>
                <w:b/>
                <w:kern w:val="0"/>
                <w:sz w:val="24"/>
              </w:rPr>
            </w:pPr>
            <w:r>
              <w:rPr>
                <w:rFonts w:hint="eastAsia" w:ascii="仿宋" w:hAnsi="仿宋" w:eastAsia="仿宋" w:cs="仿宋"/>
                <w:b/>
                <w:kern w:val="0"/>
                <w:sz w:val="24"/>
              </w:rPr>
              <w:t>涵</w:t>
            </w:r>
          </w:p>
          <w:p w14:paraId="6118DF70">
            <w:pPr>
              <w:widowControl/>
              <w:jc w:val="center"/>
              <w:rPr>
                <w:rFonts w:hint="eastAsia" w:ascii="仿宋" w:hAnsi="仿宋" w:eastAsia="仿宋" w:cs="仿宋"/>
                <w:b/>
                <w:kern w:val="0"/>
                <w:sz w:val="24"/>
              </w:rPr>
            </w:pPr>
            <w:r>
              <w:rPr>
                <w:rFonts w:hint="eastAsia" w:ascii="仿宋" w:hAnsi="仿宋" w:eastAsia="仿宋" w:cs="仿宋"/>
                <w:b/>
                <w:kern w:val="0"/>
                <w:sz w:val="24"/>
              </w:rPr>
              <w:t>发</w:t>
            </w:r>
          </w:p>
          <w:p w14:paraId="46B6AB3B">
            <w:pPr>
              <w:widowControl/>
              <w:jc w:val="center"/>
              <w:rPr>
                <w:rFonts w:hint="eastAsia" w:ascii="仿宋" w:hAnsi="仿宋" w:eastAsia="仿宋" w:cs="仿宋"/>
                <w:b/>
                <w:kern w:val="0"/>
                <w:sz w:val="24"/>
              </w:rPr>
            </w:pPr>
            <w:r>
              <w:rPr>
                <w:rFonts w:hint="eastAsia" w:ascii="仿宋" w:hAnsi="仿宋" w:eastAsia="仿宋" w:cs="仿宋"/>
                <w:b/>
                <w:kern w:val="0"/>
                <w:sz w:val="24"/>
              </w:rPr>
              <w:t>展</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46C8962">
            <w:pPr>
              <w:widowControl/>
              <w:rPr>
                <w:rFonts w:hint="eastAsia" w:ascii="仿宋" w:hAnsi="仿宋" w:eastAsia="仿宋" w:cs="仿宋"/>
                <w:kern w:val="0"/>
                <w:sz w:val="24"/>
              </w:rPr>
            </w:pPr>
            <w:r>
              <w:rPr>
                <w:rFonts w:hint="eastAsia" w:ascii="仿宋" w:hAnsi="仿宋" w:eastAsia="仿宋" w:cs="仿宋"/>
                <w:kern w:val="0"/>
                <w:sz w:val="24"/>
              </w:rPr>
              <w:t>35.教育生态建设</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3A03E6A1">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1.营造全社会重视和关心教育改革和发展的良好氛围（2分）；</w:t>
            </w:r>
          </w:p>
          <w:p w14:paraId="17F8C548">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2.建立家校社工作联席制度及家校协调的学校教学和管理机制（2分）</w:t>
            </w:r>
            <w:r>
              <w:rPr>
                <w:rFonts w:hint="eastAsia" w:ascii="仿宋" w:hAnsi="仿宋" w:eastAsia="仿宋" w:cs="仿宋"/>
                <w:kern w:val="0"/>
                <w:sz w:val="24"/>
                <w:lang w:eastAsia="zh-CN"/>
              </w:rPr>
              <w:t>；</w:t>
            </w:r>
          </w:p>
          <w:p w14:paraId="3D059F1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3.优化办学环境、家庭环境和育人环境，形成家校社目标一致、资源共享的大育人格局，学校教育和家庭教育有效衔接，实现家校有效沟通（1.5分）；</w:t>
            </w:r>
          </w:p>
          <w:p w14:paraId="1838DC71">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4.家长自愿积极参与学校教育工作，正面客观评价学校工作（2分）；</w:t>
            </w:r>
          </w:p>
          <w:p w14:paraId="03BA90B3">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5.普及科学家庭教育观念、知识和方法，引导家长与子女共同成长（1.5分）。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7A4A1A5">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3917F0F0">
            <w:pPr>
              <w:widowControl/>
              <w:jc w:val="center"/>
              <w:rPr>
                <w:rFonts w:hint="eastAsia" w:ascii="仿宋" w:hAnsi="仿宋" w:eastAsia="仿宋" w:cs="仿宋"/>
                <w:kern w:val="0"/>
                <w:sz w:val="24"/>
              </w:rPr>
            </w:pPr>
            <w:r>
              <w:rPr>
                <w:rFonts w:hint="eastAsia" w:ascii="仿宋" w:hAnsi="仿宋" w:eastAsia="仿宋" w:cs="仿宋"/>
                <w:kern w:val="0"/>
                <w:sz w:val="24"/>
              </w:rPr>
              <w:t>（9分）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67DEBF2">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区委宣传部、</w:t>
            </w:r>
          </w:p>
          <w:p w14:paraId="3751499C">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区妇联、团区委、</w:t>
            </w:r>
          </w:p>
          <w:p w14:paraId="31F1D95E">
            <w:pPr>
              <w:widowControl/>
              <w:jc w:val="center"/>
              <w:rPr>
                <w:rFonts w:hint="default" w:ascii="仿宋" w:hAnsi="仿宋" w:eastAsia="仿宋" w:cs="仿宋"/>
                <w:kern w:val="0"/>
                <w:sz w:val="24"/>
                <w:lang w:val="en-US"/>
              </w:rPr>
            </w:pPr>
            <w:r>
              <w:rPr>
                <w:rFonts w:hint="eastAsia" w:ascii="仿宋" w:hAnsi="仿宋" w:eastAsia="仿宋" w:cs="仿宋"/>
                <w:kern w:val="0"/>
                <w:sz w:val="24"/>
                <w:lang w:val="en-US" w:eastAsia="zh-CN"/>
              </w:rPr>
              <w:t>各（乡镇）街道</w:t>
            </w:r>
          </w:p>
        </w:tc>
      </w:tr>
      <w:tr w14:paraId="2FBB15F5">
        <w:tblPrEx>
          <w:tblCellMar>
            <w:top w:w="0" w:type="dxa"/>
            <w:left w:w="108" w:type="dxa"/>
            <w:bottom w:w="0" w:type="dxa"/>
            <w:right w:w="108" w:type="dxa"/>
          </w:tblCellMar>
        </w:tblPrEx>
        <w:trPr>
          <w:trHeight w:val="4875" w:hRule="atLeast"/>
        </w:trPr>
        <w:tc>
          <w:tcPr>
            <w:tcW w:w="789" w:type="dxa"/>
            <w:vMerge w:val="restart"/>
            <w:tcBorders>
              <w:top w:val="single" w:color="auto" w:sz="4" w:space="0"/>
              <w:left w:val="single" w:color="auto" w:sz="4" w:space="0"/>
              <w:right w:val="single" w:color="auto" w:sz="4" w:space="0"/>
            </w:tcBorders>
            <w:noWrap w:val="0"/>
            <w:vAlign w:val="center"/>
          </w:tcPr>
          <w:p w14:paraId="0EFCFE2E">
            <w:pPr>
              <w:widowControl/>
              <w:jc w:val="center"/>
              <w:rPr>
                <w:rFonts w:hint="eastAsia" w:ascii="仿宋" w:hAnsi="仿宋" w:eastAsia="仿宋" w:cs="仿宋"/>
                <w:b/>
                <w:kern w:val="0"/>
                <w:sz w:val="24"/>
              </w:rPr>
            </w:pPr>
            <w:r>
              <w:rPr>
                <w:rFonts w:hint="eastAsia" w:ascii="仿宋" w:hAnsi="仿宋" w:eastAsia="仿宋" w:cs="仿宋"/>
                <w:b/>
                <w:kern w:val="0"/>
                <w:sz w:val="24"/>
              </w:rPr>
              <w:t>教育</w:t>
            </w:r>
          </w:p>
          <w:p w14:paraId="018983C2">
            <w:pPr>
              <w:widowControl/>
              <w:jc w:val="center"/>
              <w:rPr>
                <w:rFonts w:hint="eastAsia" w:ascii="仿宋" w:hAnsi="仿宋" w:eastAsia="仿宋" w:cs="仿宋"/>
                <w:b/>
                <w:kern w:val="0"/>
                <w:sz w:val="24"/>
              </w:rPr>
            </w:pPr>
            <w:r>
              <w:rPr>
                <w:rFonts w:hint="eastAsia" w:ascii="仿宋" w:hAnsi="仿宋" w:eastAsia="仿宋" w:cs="仿宋"/>
                <w:b/>
                <w:kern w:val="0"/>
                <w:sz w:val="24"/>
              </w:rPr>
              <w:t>信息化</w:t>
            </w:r>
          </w:p>
          <w:p w14:paraId="185C4AED">
            <w:pPr>
              <w:widowControl/>
              <w:jc w:val="center"/>
              <w:rPr>
                <w:rFonts w:hint="eastAsia" w:ascii="仿宋" w:hAnsi="仿宋" w:eastAsia="仿宋" w:cs="仿宋"/>
                <w:kern w:val="0"/>
                <w:sz w:val="24"/>
              </w:rPr>
            </w:pPr>
            <w:r>
              <w:rPr>
                <w:rFonts w:hint="eastAsia" w:ascii="仿宋" w:hAnsi="仿宋" w:eastAsia="仿宋" w:cs="仿宋"/>
                <w:b/>
                <w:kern w:val="0"/>
                <w:sz w:val="24"/>
              </w:rPr>
              <w:t>建设</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83164D3">
            <w:pPr>
              <w:widowControl/>
              <w:rPr>
                <w:rFonts w:hint="eastAsia" w:ascii="仿宋" w:hAnsi="仿宋" w:eastAsia="仿宋" w:cs="仿宋"/>
                <w:kern w:val="0"/>
                <w:sz w:val="24"/>
              </w:rPr>
            </w:pPr>
            <w:r>
              <w:rPr>
                <w:rFonts w:hint="eastAsia" w:ascii="仿宋" w:hAnsi="仿宋" w:eastAsia="仿宋" w:cs="仿宋"/>
                <w:kern w:val="0"/>
                <w:sz w:val="24"/>
              </w:rPr>
              <w:t>36.学校管理、教学与教研信息化</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E93AD8B">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1.各</w:t>
            </w:r>
            <w:r>
              <w:rPr>
                <w:rFonts w:hint="eastAsia" w:ascii="仿宋" w:hAnsi="仿宋" w:eastAsia="仿宋" w:cs="仿宋"/>
                <w:spacing w:val="-10"/>
                <w:kern w:val="0"/>
                <w:sz w:val="24"/>
              </w:rPr>
              <w:t>级各类学校基本具备网络条件下的多媒体教学环境（①县级教育城域网建成；②学校校园网建成并接入城域网；③教室交互式多媒体教学设备比例达到100%）；（3分）</w:t>
            </w:r>
          </w:p>
          <w:p w14:paraId="5FDAAC51">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2.依托江西省教育资源公共服务平台，实现100%的学校建立网络学习空间，利用空间开展教育教学管理。90%的师生建立网络学习空间，利用空间开展备授课、教学研究、家校互通，发布教学和学习成果，提高网络学习空间应用率。10%的学校开通“名校网络课堂”；（3分）</w:t>
            </w:r>
          </w:p>
          <w:p w14:paraId="58D4D543">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3.依托江西省教育资源公共服务平台，100%教研员能熟练利用信息化手段组织开展网上集体备课、评课等网络教研活动；（2分）</w:t>
            </w:r>
          </w:p>
          <w:p w14:paraId="1CEDCE13">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4.为多媒体教学设备配备优质数字教育资源及教学软件；（2分）</w:t>
            </w:r>
          </w:p>
          <w:p w14:paraId="19598CA8">
            <w:pPr>
              <w:widowControl/>
              <w:tabs>
                <w:tab w:val="left" w:pos="225"/>
              </w:tabs>
              <w:spacing w:line="360" w:lineRule="exact"/>
              <w:jc w:val="left"/>
              <w:rPr>
                <w:rFonts w:hint="eastAsia" w:ascii="仿宋" w:hAnsi="仿宋" w:eastAsia="仿宋" w:cs="仿宋"/>
                <w:kern w:val="0"/>
                <w:sz w:val="24"/>
              </w:rPr>
            </w:pPr>
            <w:r>
              <w:rPr>
                <w:rFonts w:hint="eastAsia" w:ascii="仿宋" w:hAnsi="仿宋" w:eastAsia="仿宋" w:cs="仿宋"/>
                <w:kern w:val="0"/>
                <w:sz w:val="24"/>
              </w:rPr>
              <w:t>5.按照《江西省中小学智慧（数字）校园建设与应用评估办法》，中心小学（含）以上学校平均分60分以上（1分），中心小学以下学校平均分50分以上（1分）。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83E4B8F">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4A2B0C6C">
            <w:pPr>
              <w:widowControl/>
              <w:jc w:val="center"/>
              <w:rPr>
                <w:rFonts w:hint="eastAsia" w:ascii="仿宋" w:hAnsi="仿宋" w:eastAsia="仿宋" w:cs="仿宋"/>
                <w:kern w:val="0"/>
                <w:sz w:val="24"/>
              </w:rPr>
            </w:pPr>
            <w:r>
              <w:rPr>
                <w:rFonts w:hint="eastAsia" w:ascii="仿宋" w:hAnsi="仿宋" w:eastAsia="仿宋" w:cs="仿宋"/>
                <w:kern w:val="0"/>
                <w:sz w:val="24"/>
              </w:rPr>
              <w:t>（12分）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82CFFDB">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r>
              <w:rPr>
                <w:rFonts w:hint="eastAsia" w:ascii="仿宋" w:hAnsi="仿宋" w:eastAsia="仿宋" w:cs="仿宋"/>
                <w:color w:val="333333"/>
                <w:spacing w:val="-4"/>
                <w:sz w:val="24"/>
                <w:szCs w:val="24"/>
                <w:lang w:eastAsia="zh-CN"/>
              </w:rPr>
              <w:t>、</w:t>
            </w:r>
            <w:r>
              <w:rPr>
                <w:rFonts w:hint="eastAsia" w:ascii="仿宋" w:hAnsi="仿宋" w:eastAsia="仿宋" w:cs="仿宋"/>
                <w:color w:val="333333"/>
                <w:spacing w:val="2"/>
                <w:sz w:val="24"/>
                <w:szCs w:val="24"/>
                <w:lang w:val="en-US" w:eastAsia="zh-CN"/>
              </w:rPr>
              <w:t>区</w:t>
            </w:r>
            <w:r>
              <w:rPr>
                <w:rFonts w:hint="eastAsia" w:ascii="仿宋" w:hAnsi="仿宋" w:eastAsia="仿宋" w:cs="仿宋"/>
                <w:color w:val="333333"/>
                <w:spacing w:val="-4"/>
                <w:sz w:val="24"/>
                <w:szCs w:val="24"/>
              </w:rPr>
              <w:t>工信局</w:t>
            </w:r>
            <w:r>
              <w:rPr>
                <w:rFonts w:hint="eastAsia" w:ascii="仿宋" w:hAnsi="仿宋" w:eastAsia="仿宋" w:cs="仿宋"/>
                <w:color w:val="333333"/>
                <w:spacing w:val="2"/>
                <w:sz w:val="24"/>
                <w:szCs w:val="24"/>
                <w:lang w:eastAsia="zh-CN"/>
              </w:rPr>
              <w:t>、</w:t>
            </w:r>
            <w:r>
              <w:rPr>
                <w:rFonts w:hint="eastAsia" w:ascii="仿宋" w:hAnsi="仿宋" w:eastAsia="仿宋" w:cs="仿宋"/>
                <w:color w:val="333333"/>
                <w:spacing w:val="2"/>
                <w:sz w:val="24"/>
                <w:szCs w:val="24"/>
                <w:lang w:val="en-US" w:eastAsia="zh-CN"/>
              </w:rPr>
              <w:t>区</w:t>
            </w:r>
            <w:r>
              <w:rPr>
                <w:rFonts w:hint="eastAsia" w:ascii="仿宋" w:hAnsi="仿宋" w:eastAsia="仿宋" w:cs="仿宋"/>
                <w:color w:val="333333"/>
                <w:spacing w:val="-4"/>
                <w:sz w:val="24"/>
                <w:szCs w:val="24"/>
              </w:rPr>
              <w:t>财政局</w:t>
            </w:r>
          </w:p>
        </w:tc>
      </w:tr>
      <w:tr w14:paraId="134ADDD5">
        <w:tblPrEx>
          <w:tblCellMar>
            <w:top w:w="0" w:type="dxa"/>
            <w:left w:w="108" w:type="dxa"/>
            <w:bottom w:w="0" w:type="dxa"/>
            <w:right w:w="108" w:type="dxa"/>
          </w:tblCellMar>
        </w:tblPrEx>
        <w:trPr>
          <w:trHeight w:val="2352" w:hRule="atLeast"/>
        </w:trPr>
        <w:tc>
          <w:tcPr>
            <w:tcW w:w="789" w:type="dxa"/>
            <w:vMerge w:val="continue"/>
            <w:tcBorders>
              <w:left w:val="single" w:color="auto" w:sz="4" w:space="0"/>
              <w:bottom w:val="single" w:color="auto" w:sz="4" w:space="0"/>
              <w:right w:val="single" w:color="auto" w:sz="4" w:space="0"/>
            </w:tcBorders>
            <w:noWrap w:val="0"/>
            <w:vAlign w:val="center"/>
          </w:tcPr>
          <w:p w14:paraId="115A98DB">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42B51F2">
            <w:pPr>
              <w:widowControl/>
              <w:spacing w:line="300" w:lineRule="exact"/>
              <w:rPr>
                <w:rFonts w:hint="eastAsia" w:ascii="仿宋" w:hAnsi="仿宋" w:eastAsia="仿宋" w:cs="仿宋"/>
                <w:kern w:val="0"/>
                <w:sz w:val="24"/>
              </w:rPr>
            </w:pPr>
            <w:r>
              <w:rPr>
                <w:rFonts w:hint="eastAsia" w:ascii="仿宋" w:hAnsi="仿宋" w:eastAsia="仿宋" w:cs="仿宋"/>
                <w:kern w:val="0"/>
                <w:sz w:val="24"/>
              </w:rPr>
              <w:t>37.教师熟练运用信息化手段组织教学，设施设备利用率高</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15285AB6">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1.100%的校长参加教育信息化领导力专题培训并运用信息化手段开展教育教学管理，100%的教师能熟练利用数字教育资源开展教学活动，省中小学学科带头人和骨干教师均建立“名师网络课堂”；（3分）</w:t>
            </w:r>
          </w:p>
          <w:p w14:paraId="324086E7">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2.大力推进“专递课堂”建设，教学点“专递课堂”覆盖率达60%；（2分）</w:t>
            </w:r>
          </w:p>
          <w:p w14:paraId="0F6843CE">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3.推动形成“课堂用、经常用、普遍用”的信息化教学新常态，教师使用信息化设施设备授课的课时须达到周课时的70%以上（3分）。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F2601D3">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46CA186B">
            <w:pPr>
              <w:widowControl/>
              <w:jc w:val="center"/>
              <w:rPr>
                <w:rFonts w:hint="eastAsia" w:ascii="仿宋" w:hAnsi="仿宋" w:eastAsia="仿宋" w:cs="仿宋"/>
                <w:kern w:val="0"/>
                <w:sz w:val="24"/>
              </w:rPr>
            </w:pPr>
            <w:r>
              <w:rPr>
                <w:rFonts w:hint="eastAsia" w:ascii="仿宋" w:hAnsi="仿宋" w:eastAsia="仿宋" w:cs="仿宋"/>
                <w:kern w:val="0"/>
                <w:sz w:val="24"/>
              </w:rPr>
              <w:t>（8分）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6EC2C30">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2742C686">
        <w:tblPrEx>
          <w:tblCellMar>
            <w:top w:w="0" w:type="dxa"/>
            <w:left w:w="108" w:type="dxa"/>
            <w:bottom w:w="0" w:type="dxa"/>
            <w:right w:w="108" w:type="dxa"/>
          </w:tblCellMar>
        </w:tblPrEx>
        <w:trPr>
          <w:trHeight w:val="1359"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50DDA8D4">
            <w:pPr>
              <w:widowControl/>
              <w:jc w:val="center"/>
              <w:rPr>
                <w:rFonts w:hint="eastAsia" w:ascii="仿宋" w:hAnsi="仿宋" w:eastAsia="仿宋" w:cs="仿宋"/>
                <w:b/>
                <w:kern w:val="0"/>
                <w:sz w:val="24"/>
              </w:rPr>
            </w:pPr>
            <w:r>
              <w:rPr>
                <w:rFonts w:hint="eastAsia" w:ascii="仿宋" w:hAnsi="仿宋" w:eastAsia="仿宋" w:cs="仿宋"/>
                <w:b/>
                <w:kern w:val="0"/>
                <w:sz w:val="24"/>
              </w:rPr>
              <w:t>社会</w:t>
            </w:r>
          </w:p>
          <w:p w14:paraId="0E309D2E">
            <w:pPr>
              <w:widowControl/>
              <w:jc w:val="center"/>
              <w:rPr>
                <w:rFonts w:hint="eastAsia" w:ascii="仿宋" w:hAnsi="仿宋" w:eastAsia="仿宋" w:cs="仿宋"/>
                <w:kern w:val="0"/>
                <w:sz w:val="24"/>
              </w:rPr>
            </w:pPr>
            <w:r>
              <w:rPr>
                <w:rFonts w:hint="eastAsia" w:ascii="仿宋" w:hAnsi="仿宋" w:eastAsia="仿宋" w:cs="仿宋"/>
                <w:b/>
                <w:kern w:val="0"/>
                <w:sz w:val="24"/>
              </w:rPr>
              <w:t>认可度</w:t>
            </w:r>
          </w:p>
        </w:tc>
        <w:tc>
          <w:tcPr>
            <w:tcW w:w="10972" w:type="dxa"/>
            <w:gridSpan w:val="2"/>
            <w:tcBorders>
              <w:top w:val="single" w:color="auto" w:sz="4" w:space="0"/>
              <w:left w:val="single" w:color="auto" w:sz="4" w:space="0"/>
              <w:bottom w:val="single" w:color="auto" w:sz="4" w:space="0"/>
              <w:right w:val="single" w:color="auto" w:sz="4" w:space="0"/>
            </w:tcBorders>
            <w:noWrap w:val="0"/>
            <w:vAlign w:val="center"/>
          </w:tcPr>
          <w:p w14:paraId="4BBEDD25">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38.开展调查县级人民政府及有关职能部门落实教育公平政策、推动优质资源共享，以及义务教育学校规范办学行为、实施素质教育、考试评估制度改革、提高教育质量等方面取得的成效（调查对象包括学生、家长、教师、校长、人大代表、政协委员及其他群众），社会认可度达到85%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AB79F18">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4F06A2C">
            <w:pPr>
              <w:spacing w:before="82" w:line="214" w:lineRule="auto"/>
              <w:rPr>
                <w:rFonts w:hint="eastAsia" w:ascii="仿宋" w:hAnsi="仿宋" w:eastAsia="仿宋" w:cs="仿宋"/>
                <w:kern w:val="0"/>
                <w:sz w:val="24"/>
              </w:rPr>
            </w:pPr>
            <w:r>
              <w:rPr>
                <w:rFonts w:hint="eastAsia" w:ascii="仿宋" w:hAnsi="仿宋" w:eastAsia="仿宋" w:cs="仿宋"/>
                <w:kern w:val="0"/>
                <w:sz w:val="24"/>
                <w:lang w:val="en-US" w:eastAsia="zh-CN"/>
              </w:rPr>
              <w:t>区</w:t>
            </w:r>
            <w:r>
              <w:rPr>
                <w:rFonts w:hint="eastAsia" w:ascii="仿宋" w:hAnsi="仿宋" w:eastAsia="仿宋" w:cs="仿宋"/>
                <w:kern w:val="0"/>
                <w:sz w:val="24"/>
              </w:rPr>
              <w:t>政府办</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教体局</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财政局</w:t>
            </w:r>
            <w:r>
              <w:rPr>
                <w:rFonts w:hint="eastAsia" w:ascii="仿宋" w:hAnsi="仿宋" w:eastAsia="仿宋" w:cs="仿宋"/>
                <w:kern w:val="0"/>
                <w:sz w:val="24"/>
                <w:lang w:eastAsia="zh-CN"/>
              </w:rPr>
              <w:t>、</w:t>
            </w:r>
            <w:r>
              <w:rPr>
                <w:rFonts w:hint="eastAsia" w:ascii="仿宋" w:hAnsi="仿宋" w:eastAsia="仿宋" w:cs="仿宋"/>
                <w:kern w:val="0"/>
                <w:sz w:val="24"/>
              </w:rPr>
              <w:t>各</w:t>
            </w:r>
            <w:r>
              <w:rPr>
                <w:rFonts w:hint="eastAsia" w:ascii="仿宋" w:hAnsi="仿宋" w:eastAsia="仿宋" w:cs="仿宋"/>
                <w:kern w:val="0"/>
                <w:sz w:val="24"/>
                <w:lang w:eastAsia="zh-CN"/>
              </w:rPr>
              <w:t>（</w:t>
            </w:r>
            <w:r>
              <w:rPr>
                <w:rFonts w:hint="eastAsia" w:ascii="仿宋" w:hAnsi="仿宋" w:eastAsia="仿宋" w:cs="仿宋"/>
                <w:kern w:val="0"/>
                <w:sz w:val="24"/>
              </w:rPr>
              <w:t>乡镇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街道</w:t>
            </w:r>
            <w:r>
              <w:rPr>
                <w:rFonts w:hint="eastAsia" w:ascii="仿宋" w:hAnsi="仿宋" w:eastAsia="仿宋" w:cs="仿宋"/>
                <w:kern w:val="0"/>
                <w:sz w:val="24"/>
              </w:rPr>
              <w:t>等</w:t>
            </w:r>
          </w:p>
        </w:tc>
      </w:tr>
      <w:tr w14:paraId="296188C2">
        <w:tblPrEx>
          <w:tblCellMar>
            <w:top w:w="0" w:type="dxa"/>
            <w:left w:w="108" w:type="dxa"/>
            <w:bottom w:w="0" w:type="dxa"/>
            <w:right w:w="108" w:type="dxa"/>
          </w:tblCellMar>
        </w:tblPrEx>
        <w:trPr>
          <w:trHeight w:val="2482"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3D5D40A0">
            <w:pPr>
              <w:widowControl/>
              <w:jc w:val="center"/>
              <w:rPr>
                <w:rFonts w:hint="eastAsia" w:ascii="仿宋" w:hAnsi="仿宋" w:eastAsia="仿宋" w:cs="仿宋"/>
                <w:b/>
                <w:kern w:val="0"/>
                <w:sz w:val="24"/>
              </w:rPr>
            </w:pPr>
            <w:r>
              <w:rPr>
                <w:rFonts w:hint="eastAsia" w:ascii="仿宋" w:hAnsi="仿宋" w:eastAsia="仿宋" w:cs="仿宋"/>
                <w:b/>
                <w:kern w:val="0"/>
                <w:sz w:val="24"/>
              </w:rPr>
              <w:t>一票</w:t>
            </w:r>
          </w:p>
          <w:p w14:paraId="5134972C">
            <w:pPr>
              <w:widowControl/>
              <w:jc w:val="center"/>
              <w:rPr>
                <w:rFonts w:hint="eastAsia" w:ascii="仿宋" w:hAnsi="仿宋" w:eastAsia="仿宋" w:cs="仿宋"/>
                <w:kern w:val="0"/>
                <w:sz w:val="24"/>
              </w:rPr>
            </w:pPr>
            <w:r>
              <w:rPr>
                <w:rFonts w:hint="eastAsia" w:ascii="仿宋" w:hAnsi="仿宋" w:eastAsia="仿宋" w:cs="仿宋"/>
                <w:b/>
                <w:kern w:val="0"/>
                <w:sz w:val="24"/>
              </w:rPr>
              <w:t>否决</w:t>
            </w:r>
          </w:p>
        </w:tc>
        <w:tc>
          <w:tcPr>
            <w:tcW w:w="10972" w:type="dxa"/>
            <w:gridSpan w:val="2"/>
            <w:tcBorders>
              <w:top w:val="single" w:color="auto" w:sz="4" w:space="0"/>
              <w:left w:val="single" w:color="auto" w:sz="4" w:space="0"/>
              <w:bottom w:val="single" w:color="auto" w:sz="4" w:space="0"/>
              <w:right w:val="single" w:color="auto" w:sz="4" w:space="0"/>
            </w:tcBorders>
            <w:noWrap w:val="0"/>
            <w:vAlign w:val="center"/>
          </w:tcPr>
          <w:p w14:paraId="5759EB3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1.存在以考试方式招生；</w:t>
            </w:r>
          </w:p>
          <w:p w14:paraId="7846DEAD">
            <w:pPr>
              <w:spacing w:line="300" w:lineRule="exact"/>
              <w:rPr>
                <w:rFonts w:hint="eastAsia" w:ascii="仿宋" w:hAnsi="仿宋" w:eastAsia="仿宋" w:cs="仿宋"/>
                <w:kern w:val="0"/>
                <w:sz w:val="24"/>
              </w:rPr>
            </w:pPr>
            <w:r>
              <w:rPr>
                <w:rFonts w:hint="eastAsia" w:ascii="仿宋" w:hAnsi="仿宋" w:eastAsia="仿宋" w:cs="仿宋"/>
                <w:kern w:val="0"/>
                <w:sz w:val="24"/>
              </w:rPr>
              <w:t>2.存在违规择校行为；</w:t>
            </w:r>
          </w:p>
          <w:p w14:paraId="2CC37623">
            <w:pPr>
              <w:spacing w:line="300" w:lineRule="exact"/>
              <w:rPr>
                <w:rFonts w:hint="eastAsia" w:ascii="仿宋" w:hAnsi="仿宋" w:eastAsia="仿宋" w:cs="仿宋"/>
                <w:kern w:val="0"/>
                <w:sz w:val="24"/>
              </w:rPr>
            </w:pPr>
            <w:r>
              <w:rPr>
                <w:rFonts w:hint="eastAsia" w:ascii="仿宋" w:hAnsi="仿宋" w:eastAsia="仿宋" w:cs="仿宋"/>
                <w:kern w:val="0"/>
                <w:sz w:val="24"/>
              </w:rPr>
              <w:t>3.存在重点学校或重点班；</w:t>
            </w:r>
          </w:p>
          <w:p w14:paraId="28175F3A">
            <w:pPr>
              <w:spacing w:line="300" w:lineRule="exact"/>
              <w:rPr>
                <w:rFonts w:hint="eastAsia" w:ascii="仿宋" w:hAnsi="仿宋" w:eastAsia="仿宋" w:cs="仿宋"/>
                <w:kern w:val="0"/>
                <w:sz w:val="24"/>
              </w:rPr>
            </w:pPr>
            <w:r>
              <w:rPr>
                <w:rFonts w:hint="eastAsia" w:ascii="仿宋" w:hAnsi="仿宋" w:eastAsia="仿宋" w:cs="仿宋"/>
                <w:kern w:val="0"/>
                <w:sz w:val="24"/>
              </w:rPr>
              <w:t>4.存在“有编不补”或在有编的情况下长期聘用编外教师的情况；</w:t>
            </w:r>
          </w:p>
          <w:p w14:paraId="3003734D">
            <w:pPr>
              <w:spacing w:line="300" w:lineRule="exact"/>
              <w:rPr>
                <w:rFonts w:hint="eastAsia" w:ascii="仿宋" w:hAnsi="仿宋" w:eastAsia="仿宋" w:cs="仿宋"/>
                <w:sz w:val="24"/>
              </w:rPr>
            </w:pPr>
            <w:r>
              <w:rPr>
                <w:rFonts w:hint="eastAsia" w:ascii="仿宋" w:hAnsi="仿宋" w:eastAsia="仿宋" w:cs="仿宋"/>
                <w:sz w:val="24"/>
              </w:rPr>
              <w:t>5.出现重大及以上涉校事故灾难类、社会安全类、公共卫生类事件；</w:t>
            </w:r>
          </w:p>
          <w:p w14:paraId="41F60CB1">
            <w:pPr>
              <w:widowControl/>
              <w:spacing w:line="300" w:lineRule="exact"/>
              <w:jc w:val="left"/>
              <w:rPr>
                <w:rFonts w:hint="eastAsia" w:ascii="仿宋" w:hAnsi="仿宋" w:eastAsia="仿宋" w:cs="仿宋"/>
                <w:kern w:val="0"/>
                <w:sz w:val="24"/>
                <w:lang w:eastAsia="zh-CN"/>
              </w:rPr>
            </w:pPr>
            <w:r>
              <w:rPr>
                <w:rFonts w:hint="eastAsia" w:ascii="仿宋" w:hAnsi="仿宋" w:eastAsia="仿宋" w:cs="仿宋"/>
                <w:sz w:val="24"/>
              </w:rPr>
              <w:t>6.出现严重违纪违规事件</w:t>
            </w:r>
            <w:r>
              <w:rPr>
                <w:rFonts w:hint="eastAsia" w:ascii="仿宋" w:hAnsi="仿宋" w:eastAsia="仿宋" w:cs="仿宋"/>
                <w:sz w:val="24"/>
                <w:lang w:eastAsia="zh-CN"/>
              </w:rPr>
              <w:t>；</w:t>
            </w:r>
          </w:p>
          <w:p w14:paraId="2FC1A12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7.有弄虚作假行为。</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5670549">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F52792C">
            <w:pPr>
              <w:spacing w:before="82" w:line="214" w:lineRule="auto"/>
              <w:rPr>
                <w:rFonts w:hint="default" w:ascii="仿宋" w:hAnsi="仿宋" w:eastAsia="仿宋" w:cs="仿宋"/>
                <w:kern w:val="0"/>
                <w:sz w:val="24"/>
                <w:lang w:val="en-US"/>
              </w:rPr>
            </w:pPr>
            <w:r>
              <w:rPr>
                <w:rFonts w:hint="eastAsia" w:ascii="仿宋" w:hAnsi="仿宋" w:eastAsia="仿宋" w:cs="仿宋"/>
                <w:kern w:val="0"/>
                <w:sz w:val="24"/>
                <w:lang w:val="en-US" w:eastAsia="zh-CN"/>
              </w:rPr>
              <w:t>区委编办、区教体局、昌江公安分局、区卫健委、区应急管理局、各乡（镇）街道</w:t>
            </w:r>
          </w:p>
        </w:tc>
      </w:tr>
      <w:tr w14:paraId="34DF93AC">
        <w:tblPrEx>
          <w:tblCellMar>
            <w:top w:w="0" w:type="dxa"/>
            <w:left w:w="108" w:type="dxa"/>
            <w:bottom w:w="0" w:type="dxa"/>
            <w:right w:w="108" w:type="dxa"/>
          </w:tblCellMar>
        </w:tblPrEx>
        <w:trPr>
          <w:trHeight w:val="915" w:hRule="atLeast"/>
        </w:trPr>
        <w:tc>
          <w:tcPr>
            <w:tcW w:w="12482" w:type="dxa"/>
            <w:gridSpan w:val="4"/>
            <w:tcBorders>
              <w:top w:val="single" w:color="auto" w:sz="4" w:space="0"/>
              <w:left w:val="single" w:color="auto" w:sz="4" w:space="0"/>
              <w:bottom w:val="single" w:color="auto" w:sz="4" w:space="0"/>
              <w:right w:val="single" w:color="auto" w:sz="4" w:space="0"/>
            </w:tcBorders>
            <w:noWrap w:val="0"/>
            <w:vAlign w:val="center"/>
          </w:tcPr>
          <w:p w14:paraId="28FFC815">
            <w:pPr>
              <w:widowControl/>
              <w:spacing w:line="300" w:lineRule="exact"/>
              <w:rPr>
                <w:rFonts w:hint="eastAsia" w:ascii="仿宋" w:hAnsi="仿宋" w:eastAsia="仿宋" w:cs="仿宋"/>
                <w:kern w:val="0"/>
                <w:sz w:val="24"/>
              </w:rPr>
            </w:pPr>
            <w:r>
              <w:rPr>
                <w:rFonts w:hint="eastAsia" w:ascii="仿宋" w:hAnsi="仿宋" w:eastAsia="仿宋" w:cs="仿宋"/>
                <w:b/>
                <w:kern w:val="0"/>
                <w:sz w:val="24"/>
              </w:rPr>
              <w:t>“A”类指标27项，必须达到；“B”类指标11项，进行量化计分，总分为100分，90分以上为达标。</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0322E70">
            <w:pPr>
              <w:widowControl/>
              <w:spacing w:line="300" w:lineRule="exact"/>
              <w:jc w:val="center"/>
              <w:rPr>
                <w:rFonts w:hint="eastAsia" w:ascii="仿宋" w:hAnsi="仿宋" w:eastAsia="仿宋" w:cs="仿宋"/>
                <w:b/>
                <w:kern w:val="0"/>
                <w:sz w:val="24"/>
              </w:rPr>
            </w:pPr>
          </w:p>
        </w:tc>
      </w:tr>
    </w:tbl>
    <w:p w14:paraId="099BB807">
      <w:pPr>
        <w:tabs>
          <w:tab w:val="left" w:pos="639"/>
        </w:tabs>
        <w:bidi w:val="0"/>
        <w:jc w:val="left"/>
        <w:rPr>
          <w:rFonts w:hint="eastAsia"/>
          <w:lang w:val="en-US" w:eastAsia="zh-CN"/>
        </w:rPr>
      </w:pPr>
    </w:p>
    <w:p w14:paraId="75DD06AC">
      <w:pPr>
        <w:ind w:firstLine="640" w:firstLineChars="200"/>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1E4B">
    <w:pPr>
      <w:pStyle w:val="4"/>
      <w:tabs>
        <w:tab w:val="left" w:pos="6039"/>
        <w:tab w:val="clear" w:pos="4153"/>
      </w:tabs>
      <w:rPr>
        <w:rFonts w:hint="eastAsia" w:eastAsiaTheme="minorEastAsia"/>
        <w:sz w:val="28"/>
        <w:szCs w:val="2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2F2BC">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42F2BC">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274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8FF86">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38FF86">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DDE87">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5993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7534B"/>
    <w:rsid w:val="2B57534B"/>
    <w:rsid w:val="3F2325EB"/>
    <w:rsid w:val="48536C35"/>
    <w:rsid w:val="742B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6897</Words>
  <Characters>7341</Characters>
  <Lines>0</Lines>
  <Paragraphs>0</Paragraphs>
  <TotalTime>7</TotalTime>
  <ScaleCrop>false</ScaleCrop>
  <LinksUpToDate>false</LinksUpToDate>
  <CharactersWithSpaces>7405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2026-04-16T08:00:00Z</dcterms:created>
  <dc:creator>轩冉</dc:creator>
  <cp:lastModifiedBy>彭丹</cp:lastModifiedBy>
  <dcterms:modified xsi:type="dcterms:W3CDTF">2026-04-17T09:03:42Z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0BFC5CFBCE1D4A438CD36927B8988D61_13</vt:lpwstr>
  </property>
  <property fmtid="{D5CDD505-2E9C-101B-9397-08002B2CF9AE}" pid="4" name="KSOTemplateDocerSaveRecord">
    <vt:lpwstr>eyJoZGlkIjoiNjMzYWU4MWQ5MTIwOGIwODhjNzgwMTAxN2Y2N2Q3MDAiLCJ1c2VySWQiOiIzNDIyODgwODkifQ==</vt:lpwstr>
  </property>
</Properties>
</file>