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58" w:firstLineChars="100"/>
        <w:jc w:val="center"/>
        <w:rPr>
          <w:rFonts w:hint="eastAsia" w:ascii="宋体" w:hAnsi="宋体" w:cs="宋体"/>
          <w:b/>
          <w:bCs/>
          <w:color w:val="000000"/>
          <w:spacing w:val="-11"/>
          <w:kern w:val="0"/>
          <w:sz w:val="48"/>
          <w:szCs w:val="48"/>
          <w:lang w:eastAsia="zh-CN"/>
        </w:rPr>
      </w:pPr>
      <w:bookmarkStart w:id="0" w:name="_GoBack"/>
      <w:bookmarkEnd w:id="0"/>
      <w:r>
        <w:rPr>
          <w:rFonts w:hint="eastAsia" w:ascii="宋体" w:hAnsi="宋体" w:cs="宋体"/>
          <w:b/>
          <w:bCs/>
          <w:color w:val="000000"/>
          <w:spacing w:val="-11"/>
          <w:kern w:val="0"/>
          <w:sz w:val="48"/>
          <w:szCs w:val="48"/>
          <w:lang w:eastAsia="zh-CN"/>
        </w:rPr>
        <w:t>昌江区</w:t>
      </w:r>
      <w:r>
        <w:rPr>
          <w:rFonts w:hint="eastAsia" w:ascii="宋体" w:hAnsi="宋体" w:cs="宋体"/>
          <w:b/>
          <w:bCs/>
          <w:color w:val="000000"/>
          <w:spacing w:val="-11"/>
          <w:kern w:val="0"/>
          <w:sz w:val="48"/>
          <w:szCs w:val="48"/>
        </w:rPr>
        <w:t>市场监督管理局202</w:t>
      </w:r>
      <w:r>
        <w:rPr>
          <w:rFonts w:hint="eastAsia" w:ascii="宋体" w:hAnsi="宋体" w:cs="宋体"/>
          <w:b/>
          <w:bCs/>
          <w:color w:val="000000"/>
          <w:spacing w:val="-11"/>
          <w:kern w:val="0"/>
          <w:sz w:val="48"/>
          <w:szCs w:val="48"/>
          <w:lang w:val="en-US" w:eastAsia="zh-CN"/>
        </w:rPr>
        <w:t>3</w:t>
      </w:r>
      <w:r>
        <w:rPr>
          <w:rFonts w:hint="eastAsia" w:ascii="宋体" w:hAnsi="宋体" w:cs="宋体"/>
          <w:b/>
          <w:bCs/>
          <w:color w:val="000000"/>
          <w:spacing w:val="-11"/>
          <w:kern w:val="0"/>
          <w:sz w:val="48"/>
          <w:szCs w:val="48"/>
        </w:rPr>
        <w:t>年随机抽查事项清单</w:t>
      </w:r>
    </w:p>
    <w:p>
      <w:pPr>
        <w:ind w:firstLine="458" w:firstLineChars="100"/>
        <w:jc w:val="both"/>
        <w:rPr>
          <w:rFonts w:hint="eastAsia" w:ascii="宋体" w:hAnsi="宋体" w:cs="宋体"/>
          <w:b/>
          <w:bCs/>
          <w:color w:val="000000"/>
          <w:spacing w:val="-11"/>
          <w:kern w:val="0"/>
          <w:sz w:val="48"/>
          <w:szCs w:val="48"/>
          <w:lang w:eastAsia="zh-CN"/>
        </w:rPr>
      </w:pPr>
    </w:p>
    <w:tbl>
      <w:tblPr>
        <w:tblStyle w:val="6"/>
        <w:tblW w:w="15482" w:type="dxa"/>
        <w:tblInd w:w="-725" w:type="dxa"/>
        <w:tblLayout w:type="fixed"/>
        <w:tblCellMar>
          <w:top w:w="0" w:type="dxa"/>
          <w:left w:w="0" w:type="dxa"/>
          <w:bottom w:w="0" w:type="dxa"/>
          <w:right w:w="0" w:type="dxa"/>
        </w:tblCellMar>
      </w:tblPr>
      <w:tblGrid>
        <w:gridCol w:w="423"/>
        <w:gridCol w:w="1451"/>
        <w:gridCol w:w="2127"/>
        <w:gridCol w:w="4110"/>
        <w:gridCol w:w="1418"/>
        <w:gridCol w:w="2835"/>
        <w:gridCol w:w="1417"/>
        <w:gridCol w:w="851"/>
        <w:gridCol w:w="850"/>
      </w:tblGrid>
      <w:tr>
        <w:tblPrEx>
          <w:tblCellMar>
            <w:top w:w="0" w:type="dxa"/>
            <w:left w:w="0" w:type="dxa"/>
            <w:bottom w:w="0" w:type="dxa"/>
            <w:right w:w="0" w:type="dxa"/>
          </w:tblCellMar>
        </w:tblPrEx>
        <w:trPr>
          <w:trHeight w:val="1240" w:hRule="atLeast"/>
          <w:tblHeader/>
        </w:trPr>
        <w:tc>
          <w:tcPr>
            <w:tcW w:w="4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序号</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监管事项主项</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监管事项子项</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检查依据</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检查对象</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检查内容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抽查类别</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抽查比例</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抽查频次</w:t>
            </w:r>
          </w:p>
        </w:tc>
      </w:tr>
      <w:tr>
        <w:tblPrEx>
          <w:tblCellMar>
            <w:top w:w="0" w:type="dxa"/>
            <w:left w:w="0" w:type="dxa"/>
            <w:bottom w:w="0" w:type="dxa"/>
            <w:right w:w="0" w:type="dxa"/>
          </w:tblCellMar>
        </w:tblPrEx>
        <w:trPr>
          <w:trHeight w:val="2268" w:hRule="atLeast"/>
        </w:trPr>
        <w:tc>
          <w:tcPr>
            <w:tcW w:w="4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1</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对市场主体营业执照（登记证）规范使用情况的行政检查</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1.《市场主体登记管理条例》第三条；</w:t>
            </w:r>
            <w:r>
              <w:rPr>
                <w:rFonts w:hint="eastAsia" w:ascii="仿宋" w:hAnsi="仿宋" w:eastAsia="仿宋" w:cs="仿宋"/>
                <w:b w:val="0"/>
                <w:bCs w:val="0"/>
                <w:color w:val="auto"/>
                <w:kern w:val="0"/>
                <w:sz w:val="24"/>
                <w:szCs w:val="24"/>
              </w:rPr>
              <w:br w:type="textWrapping"/>
            </w:r>
            <w:r>
              <w:rPr>
                <w:rFonts w:hint="eastAsia" w:ascii="仿宋" w:hAnsi="仿宋" w:eastAsia="仿宋" w:cs="仿宋"/>
                <w:b w:val="0"/>
                <w:bCs w:val="0"/>
                <w:color w:val="auto"/>
                <w:kern w:val="0"/>
                <w:sz w:val="24"/>
                <w:szCs w:val="24"/>
              </w:rPr>
              <w:t>2.《公司法》第七条；</w:t>
            </w:r>
          </w:p>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3.《个人独资企业法》第十三条；</w:t>
            </w:r>
          </w:p>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4.《外国企业常驻代表机构登记管理条例》第二十一条；</w:t>
            </w:r>
            <w:r>
              <w:rPr>
                <w:rFonts w:hint="eastAsia" w:ascii="仿宋" w:hAnsi="仿宋" w:eastAsia="仿宋" w:cs="仿宋"/>
                <w:b w:val="0"/>
                <w:bCs w:val="0"/>
                <w:color w:val="auto"/>
                <w:kern w:val="0"/>
                <w:sz w:val="24"/>
                <w:szCs w:val="24"/>
              </w:rPr>
              <w:br w:type="textWrapping"/>
            </w:r>
            <w:r>
              <w:rPr>
                <w:rFonts w:hint="eastAsia" w:ascii="仿宋" w:hAnsi="仿宋" w:eastAsia="仿宋" w:cs="仿宋"/>
                <w:b w:val="0"/>
                <w:bCs w:val="0"/>
                <w:color w:val="auto"/>
                <w:kern w:val="0"/>
                <w:sz w:val="24"/>
                <w:szCs w:val="24"/>
              </w:rPr>
              <w:t>5.《电子商务法》第十五条。</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对市场主体营业执照（登记证）规范使用情况的行政检查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外国常驻代表机构</w:t>
            </w:r>
            <w:r>
              <w:rPr>
                <w:rFonts w:hint="eastAsia" w:ascii="仿宋" w:hAnsi="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对市场主体名称规范使用情况的行政检查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
              </w:numPr>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《市场主体登记管理条例》第三条；</w:t>
            </w:r>
          </w:p>
          <w:p>
            <w:pPr>
              <w:widowControl/>
              <w:numPr>
                <w:ilvl w:val="0"/>
                <w:numId w:val="1"/>
              </w:numPr>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《公司法》第七条；</w:t>
            </w:r>
            <w:r>
              <w:rPr>
                <w:rFonts w:hint="eastAsia" w:ascii="仿宋" w:hAnsi="仿宋" w:eastAsia="仿宋" w:cs="仿宋"/>
                <w:b w:val="0"/>
                <w:bCs w:val="0"/>
                <w:color w:val="auto"/>
                <w:kern w:val="0"/>
                <w:sz w:val="24"/>
                <w:szCs w:val="24"/>
              </w:rPr>
              <w:br w:type="textWrapping"/>
            </w:r>
            <w:r>
              <w:rPr>
                <w:rFonts w:hint="eastAsia" w:ascii="仿宋" w:hAnsi="仿宋" w:eastAsia="仿宋" w:cs="仿宋"/>
                <w:b w:val="0"/>
                <w:bCs w:val="0"/>
                <w:color w:val="auto"/>
                <w:kern w:val="0"/>
                <w:sz w:val="24"/>
                <w:szCs w:val="24"/>
              </w:rPr>
              <w:t>3.《市场主体登记管理条例》第二十四条；</w:t>
            </w:r>
          </w:p>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4.《个人独资企业法》第十五条；</w:t>
            </w:r>
          </w:p>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5.《外国企业常驻代表机构登记管理条例》第二十一条；</w:t>
            </w:r>
            <w:r>
              <w:rPr>
                <w:rFonts w:hint="eastAsia" w:ascii="仿宋" w:hAnsi="仿宋" w:eastAsia="仿宋" w:cs="仿宋"/>
                <w:b w:val="0"/>
                <w:bCs w:val="0"/>
                <w:color w:val="auto"/>
                <w:kern w:val="0"/>
                <w:sz w:val="24"/>
                <w:szCs w:val="24"/>
              </w:rPr>
              <w:br w:type="textWrapping"/>
            </w:r>
            <w:r>
              <w:rPr>
                <w:rFonts w:hint="eastAsia" w:ascii="仿宋" w:hAnsi="仿宋" w:eastAsia="仿宋" w:cs="仿宋"/>
                <w:b w:val="0"/>
                <w:bCs w:val="0"/>
                <w:color w:val="auto"/>
                <w:kern w:val="0"/>
                <w:sz w:val="24"/>
                <w:szCs w:val="24"/>
              </w:rPr>
              <w:t>6.《电子商务法》第十五条。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对市场主体名称规范使用情况的行政检查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外国常驻代表机构</w:t>
            </w:r>
            <w:r>
              <w:rPr>
                <w:rFonts w:hint="eastAsia" w:ascii="仿宋" w:hAnsi="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对市场主体经营（驻在）期限的行政检查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《中华人民共和国公司法》第七条</w:t>
            </w: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《中华人民共和国个人独资企业法》第七条</w:t>
            </w: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对市场主体经营（驻在）期限的行政检查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对市场主体擅自改变主要登记事项或者超出核准登记的经营范围从事经营活动的行政检查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《中华人民共和国公司法》第</w:t>
            </w:r>
            <w:r>
              <w:rPr>
                <w:rFonts w:hint="eastAsia" w:ascii="仿宋" w:hAnsi="仿宋" w:cs="仿宋"/>
                <w:b w:val="0"/>
                <w:bCs w:val="0"/>
                <w:color w:val="auto"/>
                <w:kern w:val="0"/>
                <w:sz w:val="24"/>
                <w:szCs w:val="24"/>
                <w:lang w:val="en-US" w:eastAsia="zh-CN"/>
              </w:rPr>
              <w:t>二百一十一</w:t>
            </w:r>
            <w:r>
              <w:rPr>
                <w:rFonts w:hint="eastAsia" w:ascii="仿宋" w:hAnsi="仿宋" w:eastAsia="仿宋" w:cs="仿宋"/>
                <w:b w:val="0"/>
                <w:bCs w:val="0"/>
                <w:color w:val="auto"/>
                <w:kern w:val="0"/>
                <w:sz w:val="24"/>
                <w:szCs w:val="24"/>
                <w:lang w:val="en-US" w:eastAsia="zh-CN"/>
              </w:rPr>
              <w:t>条第二款</w:t>
            </w: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《中华人民共和国个人独资企业法》第三十七条第二款</w:t>
            </w: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《中华人民共和国合伙企业法》第九十五条 第二款</w:t>
            </w: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《中华人民共和国市场主体登记管理条例》第</w:t>
            </w:r>
            <w:r>
              <w:rPr>
                <w:rFonts w:hint="eastAsia" w:ascii="仿宋" w:hAnsi="仿宋" w:cs="仿宋"/>
                <w:b w:val="0"/>
                <w:bCs w:val="0"/>
                <w:color w:val="auto"/>
                <w:kern w:val="0"/>
                <w:sz w:val="24"/>
                <w:szCs w:val="24"/>
                <w:lang w:val="en-US" w:eastAsia="zh-CN"/>
              </w:rPr>
              <w:t>四十六</w:t>
            </w:r>
            <w:r>
              <w:rPr>
                <w:rFonts w:hint="eastAsia" w:ascii="仿宋" w:hAnsi="仿宋" w:eastAsia="仿宋" w:cs="仿宋"/>
                <w:b w:val="0"/>
                <w:bCs w:val="0"/>
                <w:color w:val="auto"/>
                <w:kern w:val="0"/>
                <w:sz w:val="24"/>
                <w:szCs w:val="24"/>
                <w:lang w:val="en-US" w:eastAsia="zh-CN"/>
              </w:rPr>
              <w:t>条</w:t>
            </w:r>
          </w:p>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对市场主体擅自改变主要登记事项或者超出核准登记的经营范围从事经营活动的行政检查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对市场主体住所（经营场所）或驻在场所的行政检查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《企业法人登记管理条例》第二十九条第一款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《公司法》第二百一十一条第二款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《公司登记管理条例》第六十八条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《合伙企业法》第九十五条第二款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《个人独资企业法》第三十七条第二款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《合伙企业登记管理办法》第三十九条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《外商投资合伙企业登记管理规定》第五十三条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《个人独资企业登记管理办法》第三十八条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《个体工商户条例》第二十三条第一款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《农民专业合作社登记管理条例》第二十七条、第二十八条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《外国企业常驻代表机构登记管理条例》第三十五条第二款、第三十七条、第三十八条</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对市场主体住所（经营场所）或驻在场所的行政检查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6</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对企业注册资本实缴情况的行政检查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《中华人民共和国公司法》第一百九十九条</w:t>
            </w:r>
          </w:p>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《中华人民共和国市场主体登记管理条例》第四十五条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对企业注册资本实缴情况的行政检查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对企业法定代表人（负责人）任职情况的行政检查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《企业法人登记管理条例》第二十九条</w:t>
            </w:r>
          </w:p>
          <w:p>
            <w:pP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《公司法》第七条</w:t>
            </w:r>
          </w:p>
          <w:p>
            <w:pPr>
              <w:rPr>
                <w:rFonts w:hint="eastAsia" w:ascii="仿宋" w:hAnsi="仿宋" w:eastAsia="仿宋" w:cs="仿宋"/>
                <w:b w:val="0"/>
                <w:bCs w:val="0"/>
                <w:i w:val="0"/>
                <w:iCs w:val="0"/>
                <w:caps w:val="0"/>
                <w:color w:val="auto"/>
                <w:spacing w:val="0"/>
                <w:sz w:val="24"/>
                <w:szCs w:val="24"/>
                <w:shd w:val="clear" w:fill="FCFCFC"/>
              </w:rPr>
            </w:pPr>
            <w:r>
              <w:rPr>
                <w:rFonts w:hint="eastAsia" w:ascii="仿宋" w:hAnsi="仿宋" w:eastAsia="仿宋" w:cs="仿宋"/>
                <w:b w:val="0"/>
                <w:bCs w:val="0"/>
                <w:color w:val="auto"/>
                <w:sz w:val="24"/>
                <w:szCs w:val="24"/>
                <w:vertAlign w:val="baseline"/>
              </w:rPr>
              <w:t>《合伙企业登记管理办法》第十八条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对企业法定代表人（负责人）任职情况的行政检查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对市场主体登记注册行为的监管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对企业提交虚假材料或者采取其他欺诈手段隐瞒重要事实取得登记的行政检查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《中华人民共和国公司法》第一百九十八条</w:t>
            </w:r>
          </w:p>
          <w:p>
            <w:pP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《中华人民共和国个人独资企业法》第三十三条</w:t>
            </w:r>
          </w:p>
          <w:p>
            <w:pPr>
              <w:pStyle w:val="5"/>
              <w:shd w:val="clear" w:color="auto" w:fill="FFFFFF"/>
              <w:spacing w:before="0" w:beforeAutospacing="0" w:after="0" w:afterAutospacing="0"/>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《中华人民共和国市场主体登记管理条例》第四十四条</w:t>
            </w:r>
          </w:p>
          <w:p>
            <w:pPr>
              <w:rPr>
                <w:rFonts w:hint="eastAsia" w:ascii="仿宋" w:hAnsi="仿宋" w:eastAsia="仿宋" w:cs="仿宋"/>
                <w:b w:val="0"/>
                <w:bCs w:val="0"/>
                <w:color w:val="auto"/>
                <w:sz w:val="24"/>
                <w:szCs w:val="24"/>
                <w:vertAlign w:val="baseli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对企业提交虚假材料或者采取其他欺诈手段隐瞒重要事实取得登记的行政检查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9</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对市场主体公示信息的监管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对企业、个体工商户、农民专业合作社公示信息的行政检查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《企业信息公示暂行条例》第八条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对企业、个体工商户、农民专业合作社公示信息的行政检查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对个人的特种设备作业人员行为的监管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对特种设备作业人员的行政检查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《中华人民共和国特种设备安全法》</w:t>
            </w:r>
            <w:r>
              <w:rPr>
                <w:rFonts w:hint="eastAsia" w:ascii="仿宋" w:hAnsi="仿宋" w:eastAsia="仿宋" w:cs="仿宋"/>
                <w:b w:val="0"/>
                <w:bCs w:val="0"/>
                <w:color w:val="auto"/>
                <w:sz w:val="24"/>
                <w:szCs w:val="24"/>
              </w:rPr>
              <w:t>第十四条</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《特种设备使用管理规则》</w:t>
            </w:r>
          </w:p>
          <w:p>
            <w:pPr>
              <w:widowControl/>
              <w:spacing w:line="240" w:lineRule="exact"/>
              <w:jc w:val="left"/>
              <w:textAlignment w:val="center"/>
              <w:rPr>
                <w:rFonts w:hint="eastAsia" w:ascii="仿宋" w:hAnsi="仿宋" w:eastAsia="仿宋" w:cs="仿宋"/>
                <w:b w:val="0"/>
                <w:bCs w:val="0"/>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对特种设备作业人员的行政检查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11</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对经营者价格行为的监管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对经营者价格行为的监管</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《中华人民共和国价格法》</w:t>
            </w:r>
            <w:r>
              <w:rPr>
                <w:rFonts w:hint="eastAsia" w:ascii="仿宋" w:hAnsi="仿宋" w:eastAsia="仿宋" w:cs="仿宋"/>
                <w:b w:val="0"/>
                <w:bCs w:val="0"/>
                <w:color w:val="auto"/>
                <w:sz w:val="24"/>
                <w:szCs w:val="24"/>
              </w:rPr>
              <w:t>第三十三条</w:t>
            </w:r>
          </w:p>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《价格违法行为行政处罚规定》</w:t>
            </w:r>
            <w:r>
              <w:rPr>
                <w:rFonts w:hint="eastAsia" w:ascii="仿宋" w:hAnsi="仿宋" w:eastAsia="仿宋" w:cs="仿宋"/>
                <w:b w:val="0"/>
                <w:bCs w:val="0"/>
                <w:color w:val="auto"/>
                <w:sz w:val="24"/>
                <w:szCs w:val="24"/>
              </w:rPr>
              <w:t>第四条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对经营者价格行为的监管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对单位的特种设备使用登记行为的监管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对特种设备使用登记的行政检查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《中华人民共和国特种设备安全法》</w:t>
            </w:r>
          </w:p>
          <w:p>
            <w:pP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《特种设备安全监察条例》</w:t>
            </w:r>
            <w:r>
              <w:rPr>
                <w:rFonts w:hint="eastAsia" w:ascii="仿宋" w:hAnsi="仿宋" w:eastAsia="仿宋" w:cs="仿宋"/>
                <w:b w:val="0"/>
                <w:bCs w:val="0"/>
                <w:color w:val="auto"/>
                <w:sz w:val="24"/>
                <w:szCs w:val="24"/>
              </w:rPr>
              <w:t>第二十七条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对特种设备使用登记的行政检查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13</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对保健食品经营者经营活动的监管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对保健食品经营者的行政检查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《中华人民共和国食品安全法》</w:t>
            </w:r>
            <w:r>
              <w:rPr>
                <w:rFonts w:hint="eastAsia" w:ascii="仿宋" w:hAnsi="仿宋" w:eastAsia="仿宋" w:cs="仿宋"/>
                <w:b w:val="0"/>
                <w:bCs w:val="0"/>
                <w:color w:val="auto"/>
                <w:sz w:val="24"/>
                <w:szCs w:val="24"/>
              </w:rPr>
              <w:t>第七十四条</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《中华人民共和国食品安全法实施条例》</w:t>
            </w:r>
          </w:p>
          <w:p>
            <w:pPr>
              <w:rPr>
                <w:rFonts w:hint="eastAsia" w:ascii="仿宋" w:hAnsi="仿宋" w:eastAsia="仿宋" w:cs="仿宋"/>
                <w:b w:val="0"/>
                <w:bCs w:val="0"/>
                <w:color w:val="auto"/>
                <w:sz w:val="24"/>
                <w:szCs w:val="24"/>
                <w:lang w:val="en-US" w:eastAsia="zh-CN"/>
              </w:rPr>
            </w:pP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对保健食品经营者的行政检查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对电子商务经营者披露信息的监管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对电子商务经营者披露信息的监管</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《中华人民共和国电子商务法》</w:t>
            </w:r>
            <w:r>
              <w:rPr>
                <w:rStyle w:val="17"/>
                <w:rFonts w:hint="eastAsia" w:ascii="仿宋" w:hAnsi="仿宋" w:eastAsia="仿宋" w:cs="仿宋"/>
                <w:b w:val="0"/>
                <w:bCs w:val="0"/>
                <w:color w:val="auto"/>
                <w:sz w:val="24"/>
                <w:szCs w:val="24"/>
              </w:rPr>
              <w:t>第七十六条</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对电子商务经营者披露信息的监管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对产品质量的监管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对生产、流通领域产品的行政检查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《中华人民共和国产品质量法》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对生产、流通领域产品的行政检查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16</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对广告活动的监管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对虚假广告的行政检查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《中华人民共和国广告法》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《广告发布登记管理规定》</w:t>
            </w:r>
          </w:p>
          <w:p>
            <w:pPr>
              <w:widowControl/>
              <w:spacing w:line="240" w:lineRule="exact"/>
              <w:jc w:val="left"/>
              <w:textAlignment w:val="center"/>
              <w:rPr>
                <w:rFonts w:hint="eastAsia" w:ascii="仿宋" w:hAnsi="仿宋" w:eastAsia="仿宋" w:cs="仿宋"/>
                <w:b w:val="0"/>
                <w:bCs w:val="0"/>
                <w:color w:val="auto"/>
                <w:sz w:val="24"/>
                <w:szCs w:val="24"/>
                <w:lang w:val="en-US"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对虚假广告的行政检查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对广告活动的监管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对其他违法广告行为的行政检查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《中华人民共和国广告法》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《广告发布登记管理规定》</w:t>
            </w:r>
          </w:p>
          <w:p>
            <w:pPr>
              <w:widowControl/>
              <w:spacing w:line="240" w:lineRule="exact"/>
              <w:jc w:val="left"/>
              <w:textAlignment w:val="center"/>
              <w:rPr>
                <w:rFonts w:hint="eastAsia" w:ascii="仿宋" w:hAnsi="仿宋" w:eastAsia="仿宋" w:cs="仿宋"/>
                <w:b w:val="0"/>
                <w:bCs w:val="0"/>
                <w:color w:val="auto"/>
                <w:sz w:val="24"/>
                <w:szCs w:val="24"/>
                <w:lang w:val="en-US"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对其他违法广告行为的行政检查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对广告活动的监管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对违法广告代言活动的行政检查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《中华人民共和国广告法》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《广告发布登记管理规定》</w:t>
            </w:r>
          </w:p>
          <w:p>
            <w:pPr>
              <w:widowControl/>
              <w:spacing w:line="240" w:lineRule="exact"/>
              <w:jc w:val="left"/>
              <w:textAlignment w:val="center"/>
              <w:rPr>
                <w:rFonts w:hint="eastAsia" w:ascii="仿宋" w:hAnsi="仿宋" w:eastAsia="仿宋" w:cs="仿宋"/>
                <w:b w:val="0"/>
                <w:bCs w:val="0"/>
                <w:color w:val="auto"/>
                <w:sz w:val="24"/>
                <w:szCs w:val="24"/>
                <w:lang w:val="en-US"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对违法广告代言活动的行政检查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19</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对广告活动的监管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对广告未显著标明关闭标志的行政检查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FFFFF"/>
              </w:rPr>
            </w:pPr>
            <w:r>
              <w:rPr>
                <w:rFonts w:hint="eastAsia" w:ascii="仿宋" w:hAnsi="仿宋" w:eastAsia="仿宋" w:cs="仿宋"/>
                <w:b w:val="0"/>
                <w:bCs w:val="0"/>
                <w:i w:val="0"/>
                <w:iCs w:val="0"/>
                <w:caps w:val="0"/>
                <w:color w:val="auto"/>
                <w:spacing w:val="0"/>
                <w:sz w:val="24"/>
                <w:szCs w:val="24"/>
                <w:u w:val="none"/>
                <w:shd w:val="clear" w:fill="FFFFFF"/>
                <w:vertAlign w:val="baseline"/>
              </w:rPr>
              <w:fldChar w:fldCharType="begin"/>
            </w:r>
            <w:r>
              <w:rPr>
                <w:rFonts w:hint="eastAsia" w:ascii="仿宋" w:hAnsi="仿宋" w:eastAsia="仿宋" w:cs="仿宋"/>
                <w:b w:val="0"/>
                <w:bCs w:val="0"/>
                <w:i w:val="0"/>
                <w:iCs w:val="0"/>
                <w:caps w:val="0"/>
                <w:color w:val="auto"/>
                <w:spacing w:val="0"/>
                <w:sz w:val="24"/>
                <w:szCs w:val="24"/>
                <w:u w:val="none"/>
                <w:shd w:val="clear" w:fill="FFFFFF"/>
                <w:vertAlign w:val="baseline"/>
              </w:rPr>
              <w:instrText xml:space="preserve"> HYPERLINK "http://www.gd.gov.cn/zwgk/wjk/zcfgk/content/post_2520669.html" \t "https://www.gdzwfw.gov.cn/portal/v2/guide/_blank" </w:instrText>
            </w:r>
            <w:r>
              <w:rPr>
                <w:rFonts w:hint="eastAsia" w:ascii="仿宋" w:hAnsi="仿宋" w:eastAsia="仿宋" w:cs="仿宋"/>
                <w:b w:val="0"/>
                <w:bCs w:val="0"/>
                <w:i w:val="0"/>
                <w:iCs w:val="0"/>
                <w:caps w:val="0"/>
                <w:color w:val="auto"/>
                <w:spacing w:val="0"/>
                <w:sz w:val="24"/>
                <w:szCs w:val="24"/>
                <w:u w:val="none"/>
                <w:shd w:val="clear" w:fill="FFFFFF"/>
                <w:vertAlign w:val="baseline"/>
              </w:rPr>
              <w:fldChar w:fldCharType="separate"/>
            </w:r>
            <w:r>
              <w:rPr>
                <w:rStyle w:val="10"/>
                <w:rFonts w:hint="eastAsia" w:ascii="仿宋" w:hAnsi="仿宋" w:eastAsia="仿宋" w:cs="仿宋"/>
                <w:b w:val="0"/>
                <w:bCs w:val="0"/>
                <w:i w:val="0"/>
                <w:iCs w:val="0"/>
                <w:caps w:val="0"/>
                <w:color w:val="auto"/>
                <w:spacing w:val="0"/>
                <w:sz w:val="24"/>
                <w:szCs w:val="24"/>
                <w:u w:val="none"/>
                <w:shd w:val="clear" w:fill="FFFFFF"/>
                <w:vertAlign w:val="baseline"/>
              </w:rPr>
              <w:t>中华人民共和国广告法</w:t>
            </w:r>
            <w:r>
              <w:rPr>
                <w:rFonts w:hint="eastAsia" w:ascii="仿宋" w:hAnsi="仿宋" w:eastAsia="仿宋" w:cs="仿宋"/>
                <w:b w:val="0"/>
                <w:bCs w:val="0"/>
                <w:i w:val="0"/>
                <w:iCs w:val="0"/>
                <w:caps w:val="0"/>
                <w:color w:val="auto"/>
                <w:spacing w:val="0"/>
                <w:sz w:val="24"/>
                <w:szCs w:val="24"/>
                <w:u w:val="none"/>
                <w:shd w:val="clear" w:fill="FFFFFF"/>
                <w:vertAlign w:val="baseline"/>
              </w:rPr>
              <w:fldChar w:fldCharType="end"/>
            </w:r>
            <w:r>
              <w:rPr>
                <w:rFonts w:hint="eastAsia" w:ascii="仿宋" w:hAnsi="仿宋" w:eastAsia="仿宋" w:cs="仿宋"/>
                <w:b w:val="0"/>
                <w:bCs w:val="0"/>
                <w:i w:val="0"/>
                <w:iCs w:val="0"/>
                <w:caps w:val="0"/>
                <w:color w:val="auto"/>
                <w:spacing w:val="0"/>
                <w:sz w:val="24"/>
                <w:szCs w:val="24"/>
                <w:u w:val="none"/>
                <w:shd w:val="clear" w:fill="FFFFFF"/>
                <w:vertAlign w:val="baseline"/>
                <w:lang w:val="en-US" w:eastAsia="zh-CN"/>
              </w:rPr>
              <w:t xml:space="preserve"> </w:t>
            </w:r>
            <w:r>
              <w:rPr>
                <w:rFonts w:hint="eastAsia" w:ascii="仿宋" w:hAnsi="仿宋" w:eastAsia="仿宋" w:cs="仿宋"/>
                <w:b w:val="0"/>
                <w:bCs w:val="0"/>
                <w:i w:val="0"/>
                <w:iCs w:val="0"/>
                <w:caps w:val="0"/>
                <w:color w:val="auto"/>
                <w:spacing w:val="0"/>
                <w:sz w:val="24"/>
                <w:szCs w:val="24"/>
                <w:shd w:val="clear" w:fill="FFFFFF"/>
              </w:rPr>
              <w:t>第六十二条第二款</w:t>
            </w:r>
          </w:p>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FFFFF"/>
                <w:lang w:val="en-US" w:eastAsia="zh-CN"/>
              </w:rPr>
            </w:pPr>
            <w:r>
              <w:rPr>
                <w:rFonts w:hint="eastAsia" w:ascii="仿宋" w:hAnsi="仿宋" w:eastAsia="仿宋" w:cs="仿宋"/>
                <w:b w:val="0"/>
                <w:bCs w:val="0"/>
                <w:i w:val="0"/>
                <w:iCs w:val="0"/>
                <w:caps w:val="0"/>
                <w:color w:val="auto"/>
                <w:spacing w:val="0"/>
                <w:sz w:val="24"/>
                <w:szCs w:val="24"/>
                <w:u w:val="none"/>
                <w:shd w:val="clear" w:fill="FFFFFF"/>
                <w:vertAlign w:val="baseline"/>
              </w:rPr>
              <w:fldChar w:fldCharType="begin"/>
            </w:r>
            <w:r>
              <w:rPr>
                <w:rFonts w:hint="eastAsia" w:ascii="仿宋" w:hAnsi="仿宋" w:eastAsia="仿宋" w:cs="仿宋"/>
                <w:b w:val="0"/>
                <w:bCs w:val="0"/>
                <w:i w:val="0"/>
                <w:iCs w:val="0"/>
                <w:caps w:val="0"/>
                <w:color w:val="auto"/>
                <w:spacing w:val="0"/>
                <w:sz w:val="24"/>
                <w:szCs w:val="24"/>
                <w:u w:val="none"/>
                <w:shd w:val="clear" w:fill="FFFFFF"/>
                <w:vertAlign w:val="baseline"/>
              </w:rPr>
              <w:instrText xml:space="preserve"> HYPERLINK "http://www.gd.gov.cn/zwgk/wjk/zcfgk/content/post_2520861.html" \t "https://www.gdzwfw.gov.cn/portal/v2/guide/_blank" </w:instrText>
            </w:r>
            <w:r>
              <w:rPr>
                <w:rFonts w:hint="eastAsia" w:ascii="仿宋" w:hAnsi="仿宋" w:eastAsia="仿宋" w:cs="仿宋"/>
                <w:b w:val="0"/>
                <w:bCs w:val="0"/>
                <w:i w:val="0"/>
                <w:iCs w:val="0"/>
                <w:caps w:val="0"/>
                <w:color w:val="auto"/>
                <w:spacing w:val="0"/>
                <w:sz w:val="24"/>
                <w:szCs w:val="24"/>
                <w:u w:val="none"/>
                <w:shd w:val="clear" w:fill="FFFFFF"/>
                <w:vertAlign w:val="baseline"/>
              </w:rPr>
              <w:fldChar w:fldCharType="separate"/>
            </w:r>
            <w:r>
              <w:rPr>
                <w:rStyle w:val="10"/>
                <w:rFonts w:hint="eastAsia" w:ascii="仿宋" w:hAnsi="仿宋" w:eastAsia="仿宋" w:cs="仿宋"/>
                <w:b w:val="0"/>
                <w:bCs w:val="0"/>
                <w:i w:val="0"/>
                <w:iCs w:val="0"/>
                <w:caps w:val="0"/>
                <w:color w:val="auto"/>
                <w:spacing w:val="0"/>
                <w:sz w:val="24"/>
                <w:szCs w:val="24"/>
                <w:u w:val="none"/>
                <w:shd w:val="clear" w:fill="FFFFFF"/>
                <w:vertAlign w:val="baseline"/>
              </w:rPr>
              <w:t>互联网广告管理暂行办法</w:t>
            </w:r>
            <w:r>
              <w:rPr>
                <w:rFonts w:hint="eastAsia" w:ascii="仿宋" w:hAnsi="仿宋" w:eastAsia="仿宋" w:cs="仿宋"/>
                <w:b w:val="0"/>
                <w:bCs w:val="0"/>
                <w:i w:val="0"/>
                <w:iCs w:val="0"/>
                <w:caps w:val="0"/>
                <w:color w:val="auto"/>
                <w:spacing w:val="0"/>
                <w:sz w:val="24"/>
                <w:szCs w:val="24"/>
                <w:u w:val="none"/>
                <w:shd w:val="clear" w:fill="FFFFFF"/>
                <w:vertAlign w:val="baseline"/>
              </w:rPr>
              <w:fldChar w:fldCharType="end"/>
            </w:r>
            <w:r>
              <w:rPr>
                <w:rFonts w:hint="eastAsia" w:ascii="仿宋" w:hAnsi="仿宋" w:eastAsia="仿宋" w:cs="仿宋"/>
                <w:b w:val="0"/>
                <w:bCs w:val="0"/>
                <w:i w:val="0"/>
                <w:iCs w:val="0"/>
                <w:caps w:val="0"/>
                <w:color w:val="auto"/>
                <w:spacing w:val="0"/>
                <w:sz w:val="24"/>
                <w:szCs w:val="24"/>
                <w:u w:val="none"/>
                <w:shd w:val="clear" w:fill="FFFFFF"/>
                <w:vertAlign w:val="baseline"/>
                <w:lang w:val="en-US" w:eastAsia="zh-CN"/>
              </w:rPr>
              <w:t xml:space="preserve"> </w:t>
            </w:r>
            <w:r>
              <w:rPr>
                <w:rFonts w:hint="eastAsia" w:ascii="仿宋" w:hAnsi="仿宋" w:eastAsia="仿宋" w:cs="仿宋"/>
                <w:b w:val="0"/>
                <w:bCs w:val="0"/>
                <w:i w:val="0"/>
                <w:iCs w:val="0"/>
                <w:caps w:val="0"/>
                <w:color w:val="auto"/>
                <w:spacing w:val="0"/>
                <w:sz w:val="24"/>
                <w:szCs w:val="24"/>
                <w:shd w:val="clear" w:fill="FFFFFF"/>
              </w:rPr>
              <w:t>第二十四条第一款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对广告未显著标明关闭标志的行政检查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对食品相关产品生产企业的终产品的产品质量的监管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对食品相关产品进行行政检查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r>
              <w:rPr>
                <w:rFonts w:hint="eastAsia" w:ascii="仿宋" w:hAnsi="仿宋" w:eastAsia="仿宋" w:cs="仿宋"/>
                <w:b w:val="0"/>
                <w:bCs w:val="0"/>
                <w:color w:val="auto"/>
                <w:sz w:val="24"/>
                <w:szCs w:val="24"/>
              </w:rPr>
              <w:t>第四十一条</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对食品相关产品进行行政检查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21</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对电子商务经营者亮照亮证的监管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对电子商务经营者亮证亮照的行政检查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sz w:val="24"/>
                <w:szCs w:val="24"/>
                <w:vertAlign w:val="baseline"/>
              </w:rPr>
              <w:t>《中华人民共和国电子商务法》</w:t>
            </w:r>
            <w:r>
              <w:rPr>
                <w:rFonts w:hint="eastAsia" w:ascii="仿宋" w:hAnsi="仿宋" w:eastAsia="仿宋" w:cs="仿宋"/>
                <w:b w:val="0"/>
                <w:bCs w:val="0"/>
                <w:color w:val="auto"/>
                <w:sz w:val="24"/>
                <w:szCs w:val="24"/>
                <w:vertAlign w:val="baseline"/>
                <w:lang w:eastAsia="zh-CN"/>
              </w:rPr>
              <w:t>第</w:t>
            </w:r>
            <w:r>
              <w:rPr>
                <w:rFonts w:hint="eastAsia" w:ascii="仿宋" w:hAnsi="仿宋" w:eastAsia="仿宋" w:cs="仿宋"/>
                <w:b w:val="0"/>
                <w:bCs w:val="0"/>
                <w:color w:val="auto"/>
                <w:sz w:val="24"/>
                <w:szCs w:val="24"/>
                <w:vertAlign w:val="baseline"/>
                <w:lang w:val="en-US" w:eastAsia="zh-CN"/>
              </w:rPr>
              <w:t>15条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对电子商务经营者亮证亮照的行政检查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对食用农产品集中交易市场开办者建立或者落实食品安全管理制度的行政检查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对食用农产品集中交易市场开办者建立或者落实食品安全管理制度的行政检查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23</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对食用农产品集中交易市场开办者制定食品安全事故处置方案的行政检查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对食用农产品集中交易市场开办者制定食品安全事故处置方案的行政检查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对食用农产品集中交易市场开办者按要求建立入场销售者档案，或者按要求保存和更新销售者档案的行政检查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对食用农产品集中交易市场开办者按要求建立入场销售者档案，或者按要求保存和更新销售者档案的行政检查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对食用农产品销售者是否存在销售病死、毒死或者死因不明的禽、畜、兽、水产动物肉类，未按规定进行检疫或者检疫不合格的肉类，以及为防病等特殊需要明令禁止销售的食用农产品的行政检查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对食用农产品销售者是否存在销售病死、毒死或者死因不明的禽、畜、兽、水产动物肉类，未按规定进行检疫或者检疫不合格的肉类，以及为防病等特殊需要明令禁止销售的食用农产品的行政检查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26</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对食用农产品销售者是否存在销售致病性微生物，农药残留、兽药残留、生物毒素、重金属等污染物质以及其他危害人体健康的物质含量超过食品安全标准限量的食用农产品的行政检查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对食用农产品销售者是否存在销售致病性微生物，农药残留、兽药残留、生物毒素、重金属等污染物质以及其他危害人体健康的物质含量超过食品安全标准限量的食用农产品的行政检查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对食用农产品销售者是否存在销售违规使用食品添加剂，感观性状异常或者掺假掺杂，标注虚假生产日期、保质期或者超过保质期的食用农产品的行政检查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对食用农产品销售者是否存在销售违规使用食品添加剂，感观性状异常或者掺假掺杂，标注虚假生产日期、保质期或者超过保质期的食用农产品的行政检查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28</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对食用农产品市场销售质量安全的监管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对食用农产品销售者是否存在销售使用食品添加剂和食品相关产品不符合食品安全标准，被包装材料、容器、运输工具等污染的食用农产品的行政检查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《食用农产品市场销售质量安全监督管理办法》</w:t>
            </w:r>
          </w:p>
          <w:p>
            <w:pPr>
              <w:rPr>
                <w:rFonts w:hint="eastAsia" w:ascii="仿宋" w:hAnsi="仿宋" w:eastAsia="仿宋" w:cs="仿宋"/>
                <w:b w:val="0"/>
                <w:bCs w:val="0"/>
                <w:color w:val="auto"/>
                <w:sz w:val="24"/>
                <w:szCs w:val="24"/>
                <w:lang w:val="en-US" w:eastAsia="zh-CN"/>
              </w:rPr>
            </w:pP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对食用农产品销售者是否存在销售使用食品添加剂和食品相关产品不符合食品安全标准，被包装材料、容器、运输工具等污染的食用农产品的行政检查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29</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对婴幼儿配方乳粉、特殊医学用途配方食品经营者的经营活动的监管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对婴幼儿配方乳粉、特殊医学用途配方食品经营者的行政检查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《中华人民共和国食品安全法》</w:t>
            </w:r>
            <w:r>
              <w:rPr>
                <w:rFonts w:hint="eastAsia" w:ascii="仿宋" w:hAnsi="仿宋" w:eastAsia="仿宋" w:cs="仿宋"/>
                <w:b w:val="0"/>
                <w:bCs w:val="0"/>
                <w:color w:val="auto"/>
                <w:sz w:val="24"/>
                <w:szCs w:val="24"/>
              </w:rPr>
              <w:t>第七十四条</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《中华人民共和国食品安全法实施条例》</w:t>
            </w:r>
          </w:p>
          <w:p>
            <w:pPr>
              <w:rPr>
                <w:rFonts w:hint="eastAsia" w:ascii="仿宋" w:hAnsi="仿宋" w:eastAsia="仿宋" w:cs="仿宋"/>
                <w:b w:val="0"/>
                <w:bCs w:val="0"/>
                <w:color w:val="auto"/>
                <w:sz w:val="24"/>
                <w:szCs w:val="24"/>
                <w:lang w:val="en-US" w:eastAsia="zh-CN"/>
              </w:rPr>
            </w:pP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对婴幼儿配方乳粉、特殊医学用途配方食品经营者的行政检查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对电子商务平台经营者修改平台服务协议和交易规则的监管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对电子商务平台经营者修改平台服务协议和交易规则的行政检查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i w:val="0"/>
                <w:iCs w:val="0"/>
                <w:caps w:val="0"/>
                <w:color w:val="auto"/>
                <w:spacing w:val="0"/>
                <w:sz w:val="24"/>
                <w:szCs w:val="24"/>
                <w:shd w:val="clear" w:fill="FCFCFC"/>
              </w:rPr>
              <w:t>《电子商务法》第三十四条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对电子商务平台经营者修改平台服务协议和交易规则的行政检查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31</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对传销行为的监管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对组织者或者经营者的传销行为的行政检查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《禁止传销条例》</w:t>
            </w:r>
            <w:r>
              <w:rPr>
                <w:rFonts w:hint="eastAsia" w:ascii="仿宋" w:hAnsi="仿宋" w:eastAsia="仿宋" w:cs="仿宋"/>
                <w:b w:val="0"/>
                <w:bCs w:val="0"/>
                <w:color w:val="auto"/>
                <w:sz w:val="24"/>
                <w:szCs w:val="24"/>
                <w:lang w:val="en-US" w:eastAsia="zh-CN"/>
              </w:rPr>
              <w:t>第二十四条</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对组织者或者经营者的传销行为的行政检查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对餐饮服务食品安全的监管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对餐饮服务经营者日常经营行为的行政检查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对餐饮服务经营者日常经营行为的行政检查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33</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对餐饮服务食品安全的监管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对餐饮服务经营者遵守本法情况的行政检查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《中华人民共和国食品安全法》</w:t>
            </w:r>
          </w:p>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《食品生产经营日常监督检查管理办法》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对餐饮服务经营者遵守本法情况的行政检查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对电子商务平台经营者公示平台服务协议和交易规则信息的监管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对持续公示信息的行政检查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《电子商务法》</w:t>
            </w:r>
            <w:r>
              <w:rPr>
                <w:rFonts w:hint="eastAsia" w:ascii="仿宋" w:hAnsi="仿宋" w:eastAsia="仿宋" w:cs="仿宋"/>
                <w:b w:val="0"/>
                <w:bCs w:val="0"/>
                <w:color w:val="auto"/>
                <w:sz w:val="24"/>
                <w:szCs w:val="24"/>
              </w:rPr>
              <w:t>第十六条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对持续公示信息的行政检查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对电子商务平台经营者搭售行为的监管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对电子商务平台经营者搭售的行政检查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《电子商务法》</w:t>
            </w:r>
            <w:r>
              <w:rPr>
                <w:rFonts w:hint="eastAsia" w:ascii="仿宋" w:hAnsi="仿宋" w:eastAsia="仿宋" w:cs="仿宋"/>
                <w:b w:val="0"/>
                <w:bCs w:val="0"/>
                <w:color w:val="auto"/>
                <w:sz w:val="24"/>
                <w:szCs w:val="24"/>
              </w:rPr>
              <w:t>第</w:t>
            </w:r>
            <w:r>
              <w:rPr>
                <w:rFonts w:hint="eastAsia" w:ascii="仿宋" w:hAnsi="仿宋" w:eastAsia="仿宋" w:cs="仿宋"/>
                <w:b w:val="0"/>
                <w:bCs w:val="0"/>
                <w:color w:val="auto"/>
                <w:sz w:val="24"/>
                <w:szCs w:val="24"/>
                <w:lang w:eastAsia="zh-CN"/>
              </w:rPr>
              <w:t>十九</w:t>
            </w:r>
            <w:r>
              <w:rPr>
                <w:rFonts w:hint="eastAsia" w:ascii="仿宋" w:hAnsi="仿宋" w:eastAsia="仿宋" w:cs="仿宋"/>
                <w:b w:val="0"/>
                <w:bCs w:val="0"/>
                <w:color w:val="auto"/>
                <w:sz w:val="24"/>
                <w:szCs w:val="24"/>
              </w:rPr>
              <w:t>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对电子商务平台经营者搭售的行政检查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36</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对认证证书和认证标志的监管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对认证证书和认证标志的使用情况的行政检查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FFFFF"/>
              </w:rPr>
            </w:pPr>
            <w:r>
              <w:rPr>
                <w:rFonts w:hint="eastAsia" w:ascii="仿宋" w:hAnsi="仿宋" w:eastAsia="仿宋" w:cs="仿宋"/>
                <w:b w:val="0"/>
                <w:bCs w:val="0"/>
                <w:i w:val="0"/>
                <w:iCs w:val="0"/>
                <w:caps w:val="0"/>
                <w:color w:val="auto"/>
                <w:spacing w:val="0"/>
                <w:sz w:val="24"/>
                <w:szCs w:val="24"/>
                <w:shd w:val="clear" w:fill="FFFFFF"/>
              </w:rPr>
              <w:t>《中华人民共和国产品质量法》第八条</w:t>
            </w:r>
          </w:p>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FFFFF"/>
              </w:rPr>
            </w:pPr>
            <w:r>
              <w:rPr>
                <w:rFonts w:hint="eastAsia" w:ascii="仿宋" w:hAnsi="仿宋" w:eastAsia="仿宋" w:cs="仿宋"/>
                <w:b w:val="0"/>
                <w:bCs w:val="0"/>
                <w:i w:val="0"/>
                <w:iCs w:val="0"/>
                <w:caps w:val="0"/>
                <w:color w:val="auto"/>
                <w:spacing w:val="0"/>
                <w:sz w:val="24"/>
                <w:szCs w:val="24"/>
                <w:shd w:val="clear" w:fill="FFFFFF"/>
              </w:rPr>
              <w:t>《中华人民共和国认证认证条例》第五十五条</w:t>
            </w:r>
          </w:p>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FFFFF"/>
              </w:rPr>
            </w:pPr>
            <w:r>
              <w:rPr>
                <w:rFonts w:hint="eastAsia" w:ascii="仿宋" w:hAnsi="仿宋" w:eastAsia="仿宋" w:cs="仿宋"/>
                <w:b w:val="0"/>
                <w:bCs w:val="0"/>
                <w:i w:val="0"/>
                <w:iCs w:val="0"/>
                <w:caps w:val="0"/>
                <w:color w:val="auto"/>
                <w:spacing w:val="0"/>
                <w:sz w:val="24"/>
                <w:szCs w:val="24"/>
                <w:shd w:val="clear" w:fill="FFFFFF"/>
              </w:rPr>
              <w:t>《认证证书和认证标志管理办法》第四条第二款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对认证证书和认证标志的使用情况的行政检查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对直销经营行为的监管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对直销企业、直销员及其直销活动的行政检查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《直销管理条例》第二条</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第五条</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第十四条</w:t>
            </w:r>
          </w:p>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直销员业务培训管理办法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对直销企业、直销员及其直销活动的行政检查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38</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对不合格食品的监管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对不合格食品及其生产经营者的行政检查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《食品安全法》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对不合格食品及其生产经营者的行政检查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39</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对电子商务经营者向消费者显示搜索结果的监管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对向消费者显示搜索结果的行政检查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《电子商务法》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对向消费者显示搜索结果的行政检查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对企业未经许可从事拍卖业务行为的行政检查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《中华人民共和国拍卖法》</w:t>
            </w:r>
            <w:r>
              <w:rPr>
                <w:rFonts w:hint="eastAsia" w:ascii="仿宋" w:hAnsi="仿宋" w:eastAsia="仿宋" w:cs="仿宋"/>
                <w:b w:val="0"/>
                <w:bCs w:val="0"/>
                <w:color w:val="auto"/>
                <w:sz w:val="24"/>
                <w:szCs w:val="24"/>
              </w:rPr>
              <w:t>第六十条</w:t>
            </w:r>
          </w:p>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《拍卖监督管理办法》</w:t>
            </w:r>
            <w:r>
              <w:rPr>
                <w:rFonts w:hint="eastAsia" w:ascii="仿宋" w:hAnsi="仿宋" w:eastAsia="仿宋" w:cs="仿宋"/>
                <w:b w:val="0"/>
                <w:bCs w:val="0"/>
                <w:color w:val="auto"/>
                <w:sz w:val="24"/>
                <w:szCs w:val="24"/>
              </w:rPr>
              <w:t>第十一条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对企业未经许可从事拍卖业务行为的行政检查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41</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对拍卖人及其工作人员以竞买人的身份参与自己组织的拍卖活动或者委托他人代为竞买的行为的行政检查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《中华人民共和国拍卖法》第二十二条</w:t>
            </w:r>
          </w:p>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《拍卖监督管理办法》 第五条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对拍卖人及其工作人员以竞买人的身份参与自己组织的拍卖活动或者委托他人代为竞买的行为的行政检查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对拍卖人在自己组织的拍卖活动中拍卖自己的物品或者财产权利行为的行政检查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《中华人民共和国拍卖法》第二十三条</w:t>
            </w:r>
          </w:p>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《拍卖监督管理办法》第五条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对拍卖人在自己组织的拍卖活动中拍卖自己的物品或者财产权利行为的行政检查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43</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对委托人参与竞买或者委托他人代为竞买行为的行政检查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CFCFC"/>
              </w:rPr>
            </w:pPr>
            <w:r>
              <w:rPr>
                <w:rFonts w:hint="eastAsia" w:ascii="仿宋" w:hAnsi="仿宋" w:eastAsia="仿宋" w:cs="仿宋"/>
                <w:b w:val="0"/>
                <w:bCs w:val="0"/>
                <w:i w:val="0"/>
                <w:iCs w:val="0"/>
                <w:caps w:val="0"/>
                <w:color w:val="auto"/>
                <w:spacing w:val="0"/>
                <w:sz w:val="24"/>
                <w:szCs w:val="24"/>
                <w:shd w:val="clear" w:fill="FCFCFC"/>
              </w:rPr>
              <w:t>《拍卖法》第三十条</w:t>
            </w:r>
          </w:p>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CFCFC"/>
              </w:rPr>
            </w:pPr>
            <w:r>
              <w:rPr>
                <w:rFonts w:hint="eastAsia" w:ascii="仿宋" w:hAnsi="仿宋" w:eastAsia="仿宋" w:cs="仿宋"/>
                <w:b w:val="0"/>
                <w:bCs w:val="0"/>
                <w:i w:val="0"/>
                <w:iCs w:val="0"/>
                <w:caps w:val="0"/>
                <w:color w:val="auto"/>
                <w:spacing w:val="0"/>
                <w:sz w:val="24"/>
                <w:szCs w:val="24"/>
                <w:shd w:val="clear" w:fill="FCFCFC"/>
              </w:rPr>
              <w:t>《拍卖监督管理办法》第三条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对委托人参与竞买或者委托他人代为竞买行为的行政检查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对竞买人之间、竞买人与拍卖人之间恶意串通行为的行政检查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《中华人民共和国拍卖法》第六十五条</w:t>
            </w:r>
          </w:p>
          <w:p>
            <w:pPr>
              <w:widowControl/>
              <w:spacing w:line="240" w:lineRule="exact"/>
              <w:jc w:val="lef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第三十七条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对竞买人之间、竞买人与拍卖人之间恶意串通行为的行政检查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对拍卖人雇佣非拍卖师主持拍卖活动行为的行政检查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i w:val="0"/>
                <w:iCs w:val="0"/>
                <w:caps w:val="0"/>
                <w:color w:val="auto"/>
                <w:spacing w:val="0"/>
                <w:sz w:val="24"/>
                <w:szCs w:val="24"/>
                <w:u w:val="none"/>
                <w:shd w:val="clear" w:fill="FFFFFF"/>
              </w:rPr>
              <w:fldChar w:fldCharType="begin"/>
            </w:r>
            <w:r>
              <w:rPr>
                <w:rFonts w:hint="eastAsia" w:ascii="仿宋" w:hAnsi="仿宋" w:eastAsia="仿宋" w:cs="仿宋"/>
                <w:b w:val="0"/>
                <w:bCs w:val="0"/>
                <w:i w:val="0"/>
                <w:iCs w:val="0"/>
                <w:caps w:val="0"/>
                <w:color w:val="auto"/>
                <w:spacing w:val="0"/>
                <w:sz w:val="24"/>
                <w:szCs w:val="24"/>
                <w:u w:val="none"/>
                <w:shd w:val="clear" w:fill="FFFFFF"/>
              </w:rPr>
              <w:instrText xml:space="preserve"> HYPERLINK "https://www.zj.gov.cn/zjservice/item/detail/lawtext.do?outLawId=1ad49a68-402e-4814-b1d2-1de0e7ad5edf&amp;impleType=11" \t "https://www.zjzwfw.gov.cn/zjservice/item/detail/_blank" </w:instrText>
            </w:r>
            <w:r>
              <w:rPr>
                <w:rFonts w:hint="eastAsia" w:ascii="仿宋" w:hAnsi="仿宋" w:eastAsia="仿宋" w:cs="仿宋"/>
                <w:b w:val="0"/>
                <w:bCs w:val="0"/>
                <w:i w:val="0"/>
                <w:iCs w:val="0"/>
                <w:caps w:val="0"/>
                <w:color w:val="auto"/>
                <w:spacing w:val="0"/>
                <w:sz w:val="24"/>
                <w:szCs w:val="24"/>
                <w:u w:val="none"/>
                <w:shd w:val="clear" w:fill="FFFFFF"/>
              </w:rPr>
              <w:fldChar w:fldCharType="separate"/>
            </w:r>
            <w:r>
              <w:rPr>
                <w:rStyle w:val="10"/>
                <w:rFonts w:hint="eastAsia" w:ascii="仿宋" w:hAnsi="仿宋" w:eastAsia="仿宋" w:cs="仿宋"/>
                <w:b w:val="0"/>
                <w:bCs w:val="0"/>
                <w:i w:val="0"/>
                <w:iCs w:val="0"/>
                <w:caps w:val="0"/>
                <w:color w:val="auto"/>
                <w:spacing w:val="0"/>
                <w:sz w:val="24"/>
                <w:szCs w:val="24"/>
                <w:u w:val="none"/>
                <w:shd w:val="clear" w:fill="FFFFFF"/>
              </w:rPr>
              <w:t>拍卖监督管理办法</w:t>
            </w:r>
            <w:r>
              <w:rPr>
                <w:rFonts w:hint="eastAsia" w:ascii="仿宋" w:hAnsi="仿宋" w:eastAsia="仿宋" w:cs="仿宋"/>
                <w:b w:val="0"/>
                <w:bCs w:val="0"/>
                <w:i w:val="0"/>
                <w:iCs w:val="0"/>
                <w:caps w:val="0"/>
                <w:color w:val="auto"/>
                <w:spacing w:val="0"/>
                <w:sz w:val="24"/>
                <w:szCs w:val="24"/>
                <w:u w:val="none"/>
                <w:shd w:val="clear" w:fill="FFFFFF"/>
              </w:rPr>
              <w:fldChar w:fldCharType="end"/>
            </w:r>
            <w:r>
              <w:rPr>
                <w:rFonts w:hint="eastAsia" w:ascii="仿宋" w:hAnsi="仿宋" w:eastAsia="仿宋" w:cs="仿宋"/>
                <w:b w:val="0"/>
                <w:bCs w:val="0"/>
                <w:i w:val="0"/>
                <w:iCs w:val="0"/>
                <w:caps w:val="0"/>
                <w:color w:val="auto"/>
                <w:spacing w:val="0"/>
                <w:sz w:val="24"/>
                <w:szCs w:val="24"/>
                <w:u w:val="none"/>
                <w:shd w:val="clear" w:fill="FFFFFF"/>
                <w:lang w:val="en-US" w:eastAsia="zh-CN"/>
              </w:rPr>
              <w:t xml:space="preserve"> </w:t>
            </w:r>
            <w:r>
              <w:rPr>
                <w:rFonts w:hint="eastAsia" w:ascii="仿宋" w:hAnsi="仿宋" w:eastAsia="仿宋" w:cs="仿宋"/>
                <w:b w:val="0"/>
                <w:bCs w:val="0"/>
                <w:i w:val="0"/>
                <w:iCs w:val="0"/>
                <w:caps w:val="0"/>
                <w:color w:val="auto"/>
                <w:spacing w:val="0"/>
                <w:sz w:val="24"/>
                <w:szCs w:val="24"/>
                <w:shd w:val="clear" w:fill="FFFFFF"/>
              </w:rPr>
              <w:t>第三条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拍卖人雇佣非拍卖师主持拍卖活动行为的行政检查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46</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对拍卖人采用财物或者其他手段进行贿赂以争揽业务行为的行政检查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CFCFC"/>
              </w:rPr>
            </w:pPr>
            <w:r>
              <w:rPr>
                <w:rFonts w:hint="eastAsia" w:ascii="仿宋" w:hAnsi="仿宋" w:eastAsia="仿宋" w:cs="仿宋"/>
                <w:b w:val="0"/>
                <w:bCs w:val="0"/>
                <w:i w:val="0"/>
                <w:iCs w:val="0"/>
                <w:caps w:val="0"/>
                <w:color w:val="auto"/>
                <w:spacing w:val="0"/>
                <w:sz w:val="24"/>
                <w:szCs w:val="24"/>
                <w:shd w:val="clear" w:fill="FCFCFC"/>
              </w:rPr>
              <w:t>《拍卖监督管理办法》第五条</w:t>
            </w:r>
          </w:p>
          <w:p>
            <w:pPr>
              <w:widowControl/>
              <w:spacing w:line="240" w:lineRule="exact"/>
              <w:jc w:val="left"/>
              <w:textAlignment w:val="center"/>
              <w:rPr>
                <w:rFonts w:hint="eastAsia" w:ascii="仿宋" w:hAnsi="仿宋" w:eastAsia="仿宋" w:cs="仿宋"/>
                <w:b w:val="0"/>
                <w:bCs w:val="0"/>
                <w:i w:val="0"/>
                <w:iCs w:val="0"/>
                <w:caps w:val="0"/>
                <w:color w:val="auto"/>
                <w:spacing w:val="0"/>
                <w:sz w:val="24"/>
                <w:szCs w:val="24"/>
                <w:shd w:val="clear" w:fill="FCFCFC"/>
              </w:rPr>
            </w:pPr>
            <w:r>
              <w:rPr>
                <w:rFonts w:hint="eastAsia" w:ascii="仿宋" w:hAnsi="仿宋" w:eastAsia="仿宋" w:cs="仿宋"/>
                <w:b w:val="0"/>
                <w:bCs w:val="0"/>
                <w:i w:val="0"/>
                <w:iCs w:val="0"/>
                <w:caps w:val="0"/>
                <w:color w:val="auto"/>
                <w:spacing w:val="0"/>
                <w:sz w:val="24"/>
                <w:szCs w:val="24"/>
                <w:shd w:val="clear" w:fill="FCFCFC"/>
              </w:rPr>
              <w:t>《反不正当竞争法》第七条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对拍卖人采用财物或者其他手段进行贿赂以争揽业务行为的行政检查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对拍卖人利用拍卖公告或者其他方法，对拍卖标的作引人误解的虚假宣传行为的行政检查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keepNext w:val="0"/>
              <w:keepLines w:val="0"/>
              <w:widowControl/>
              <w:suppressLineNumbers w:val="0"/>
              <w:shd w:val="clear" w:fill="FFFFFF"/>
              <w:ind w:left="0" w:firstLine="0"/>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shd w:val="clear" w:fill="FFFFFF"/>
              </w:rPr>
              <w:t>《拍卖监督管理办法》第五条</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对拍卖人利用拍卖公告或者其他方法，对拍卖标的作引人误解的虚假宣传行为的行政检查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48</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对拍卖人捏造、散布虚假事实，损害其他拍卖人的商业信誉行为的行政检查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val="en-US" w:eastAsia="zh-CN"/>
              </w:rPr>
            </w:pPr>
            <w:r>
              <w:rPr>
                <w:rStyle w:val="9"/>
                <w:rFonts w:hint="eastAsia" w:ascii="仿宋" w:hAnsi="仿宋" w:eastAsia="仿宋" w:cs="仿宋"/>
                <w:b w:val="0"/>
                <w:bCs w:val="0"/>
                <w:i w:val="0"/>
                <w:iCs w:val="0"/>
                <w:caps w:val="0"/>
                <w:color w:val="auto"/>
                <w:spacing w:val="0"/>
                <w:sz w:val="24"/>
                <w:szCs w:val="24"/>
              </w:rPr>
              <w:t>拍卖监督管理办法</w:t>
            </w:r>
            <w:r>
              <w:rPr>
                <w:rStyle w:val="9"/>
                <w:rFonts w:hint="eastAsia" w:ascii="仿宋" w:hAnsi="仿宋" w:eastAsia="仿宋" w:cs="仿宋"/>
                <w:b w:val="0"/>
                <w:bCs w:val="0"/>
                <w:i w:val="0"/>
                <w:iCs w:val="0"/>
                <w:caps w:val="0"/>
                <w:color w:val="auto"/>
                <w:spacing w:val="0"/>
                <w:sz w:val="24"/>
                <w:szCs w:val="24"/>
                <w:lang w:val="en-US" w:eastAsia="zh-CN"/>
              </w:rPr>
              <w:t xml:space="preserve"> 第五条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对拍卖人捏造、散布虚假事实，损害其他拍卖人的商业信誉行为的行政检查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49</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对拍卖人以不正当手段侵犯他人的商业秘密行为的行政检查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keepNext w:val="0"/>
              <w:keepLines w:val="0"/>
              <w:widowControl/>
              <w:suppressLineNumbers w:val="0"/>
              <w:shd w:val="clear" w:fill="FFFFFF"/>
              <w:ind w:left="0" w:firstLine="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shd w:val="clear" w:fill="FFFFFF"/>
              </w:rPr>
              <w:t>《拍卖监督管理办法》第五条</w:t>
            </w:r>
            <w:r>
              <w:rPr>
                <w:rFonts w:hint="eastAsia" w:ascii="仿宋" w:hAnsi="仿宋" w:eastAsia="仿宋" w:cs="仿宋"/>
                <w:b w:val="0"/>
                <w:bCs w:val="0"/>
                <w:i w:val="0"/>
                <w:iCs w:val="0"/>
                <w:caps w:val="0"/>
                <w:color w:val="auto"/>
                <w:spacing w:val="0"/>
                <w:sz w:val="24"/>
                <w:szCs w:val="24"/>
                <w:shd w:val="clear" w:fill="FFFFFF"/>
                <w:lang w:eastAsia="zh-CN"/>
              </w:rPr>
              <w:t>、第十二条</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对拍卖人以不正当手段侵犯他人的商业秘密行为的行政检查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对电子商务经营者信息保管的监管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对电子商务经营者信息的行政检查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《电子商务法》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对电子商务经营者信息的行政检查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51</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对收费行为的监管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行政性收费、事业性收费的管理和监督（当前，国家对行政事业性收费的行政监督和行政处罚没有法律依据，1987年出台的《价格管理条例》第三十六条只规定了物价部门有权对行政事业收费进行管理和监督。实践中，价格监督检查机构依据党中央、国务院文件进行监管）</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《价格管理条例》第三十六条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行政性收费、事业性收费的管理和监督（当前，国家对行政事业性收费的行政监督和行政处罚没有法律依据，1987年出台的《价格管理条例》第三十六条只规定了物价部门有权对行政事业收费进行管理和监督。实践中，价格监督检查机构依据党中央、国务院文件进行监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对电子商务经营者登记核验真实信息的监管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《电子商务法》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对电子商务平台经营者的行政检查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53</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对不正当竞争行为的监管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对不正当竞争行为进行行政检查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i w:val="0"/>
                <w:iCs w:val="0"/>
                <w:caps w:val="0"/>
                <w:color w:val="auto"/>
                <w:spacing w:val="0"/>
                <w:sz w:val="24"/>
                <w:szCs w:val="24"/>
                <w:shd w:val="clear" w:fill="FCFCFC"/>
              </w:rPr>
              <w:t>《反不正当竞争法》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对不正当竞争行为进行行政检查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对非法定计量单位的计量器具的监管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对非法定计量单位的计量器具的行政检查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《中华人民共和国计量法》</w:t>
            </w:r>
            <w:r>
              <w:rPr>
                <w:rFonts w:hint="eastAsia" w:ascii="仿宋" w:hAnsi="仿宋" w:eastAsia="仿宋" w:cs="仿宋"/>
                <w:b w:val="0"/>
                <w:bCs w:val="0"/>
                <w:color w:val="auto"/>
                <w:sz w:val="24"/>
                <w:szCs w:val="24"/>
              </w:rPr>
              <w:t>第九条</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《中华人民共和国计量法实施细则》</w:t>
            </w:r>
          </w:p>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《法定计量检定机构监督管理办法》</w:t>
            </w:r>
            <w:r>
              <w:rPr>
                <w:rFonts w:hint="eastAsia" w:ascii="仿宋" w:hAnsi="仿宋" w:eastAsia="仿宋" w:cs="仿宋"/>
                <w:b w:val="0"/>
                <w:bCs w:val="0"/>
                <w:color w:val="auto"/>
                <w:sz w:val="24"/>
                <w:szCs w:val="24"/>
              </w:rPr>
              <w:t>第十五条</w:t>
            </w:r>
          </w:p>
          <w:p>
            <w:pPr>
              <w:rPr>
                <w:rFonts w:hint="eastAsia" w:ascii="仿宋" w:hAnsi="仿宋" w:eastAsia="仿宋" w:cs="仿宋"/>
                <w:b w:val="0"/>
                <w:bCs w:val="0"/>
                <w:color w:val="auto"/>
                <w:sz w:val="24"/>
                <w:szCs w:val="24"/>
                <w:lang w:val="en-US" w:eastAsia="zh-CN"/>
              </w:rPr>
            </w:pP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对非法定计量单位的计量器具的行政检查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对充装单位行为的监管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对充装单位的行政检查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rPr>
              <w:t>《</w:t>
            </w:r>
            <w:r>
              <w:rPr>
                <w:rFonts w:hint="eastAsia" w:ascii="仿宋" w:hAnsi="仿宋" w:eastAsia="仿宋" w:cs="仿宋"/>
                <w:b w:val="0"/>
                <w:bCs w:val="0"/>
                <w:color w:val="auto"/>
                <w:sz w:val="24"/>
                <w:szCs w:val="24"/>
                <w:vertAlign w:val="baseline"/>
                <w:lang w:val="en-US" w:eastAsia="zh-CN"/>
              </w:rPr>
              <w:t>中华人民共和国特种设备安全法》第二条、第六十一条、第六十二条</w:t>
            </w:r>
          </w:p>
          <w:p>
            <w:pP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val="en-US" w:eastAsia="zh-CN"/>
              </w:rPr>
              <w:t>《特种设备安全监察条例》第五十二条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对充装单位的行政检查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56</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对电子商务平台经营者提供信用评价的监管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对电子商务平台经营者信用评价制度的行政检查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《电子商务法》</w:t>
            </w:r>
            <w:r>
              <w:rPr>
                <w:rFonts w:hint="eastAsia" w:ascii="仿宋" w:hAnsi="仿宋" w:eastAsia="仿宋" w:cs="仿宋"/>
                <w:b w:val="0"/>
                <w:bCs w:val="0"/>
                <w:color w:val="auto"/>
                <w:sz w:val="24"/>
                <w:szCs w:val="24"/>
              </w:rPr>
              <w:t>第三十九条</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对电子商务平台经营者信用评价制度的行政检查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对药品零售企业的监管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对药品零售企业的行政检查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《中华人民共和国药品管理法》</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对药品零售企业的行政检查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58</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对购买麻醉药品和精神药品的监管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对购买麻醉药品和精神药品的行政检查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《中华人民共和国商标法》</w:t>
            </w:r>
          </w:p>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《中华人民共和国商标法实施条例》</w:t>
            </w:r>
          </w:p>
          <w:p>
            <w:pPr>
              <w:widowControl/>
              <w:spacing w:line="240" w:lineRule="exact"/>
              <w:jc w:val="left"/>
              <w:textAlignment w:val="center"/>
              <w:rPr>
                <w:rFonts w:hint="eastAsia" w:ascii="仿宋" w:hAnsi="仿宋" w:eastAsia="仿宋" w:cs="仿宋"/>
                <w:b w:val="0"/>
                <w:bCs w:val="0"/>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对购买麻醉药品和精神药品的行政检查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r>
        <w:tblPrEx>
          <w:tblCellMar>
            <w:top w:w="0" w:type="dxa"/>
            <w:left w:w="0" w:type="dxa"/>
            <w:bottom w:w="0" w:type="dxa"/>
            <w:right w:w="0" w:type="dxa"/>
          </w:tblCellMar>
        </w:tblPrEx>
        <w:trPr>
          <w:trHeight w:val="25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59</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对商标代理机构的监管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rPr>
              <w:t>对商标代理机构代理行为的行政检查</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《中华人民共和国商标法》</w:t>
            </w:r>
          </w:p>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《中华人民共和国商标法实施条例》</w:t>
            </w:r>
          </w:p>
          <w:p>
            <w:pPr>
              <w:widowControl/>
              <w:spacing w:line="240" w:lineRule="exact"/>
              <w:jc w:val="left"/>
              <w:textAlignment w:val="center"/>
              <w:rPr>
                <w:rFonts w:hint="eastAsia" w:ascii="仿宋" w:hAnsi="仿宋" w:eastAsia="仿宋" w:cs="仿宋"/>
                <w:b w:val="0"/>
                <w:bCs w:val="0"/>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vertAlign w:val="baseline"/>
              </w:rPr>
              <w:t>对商标代理机构代理行为的行政检查</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一般检查事项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企业不少于</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 xml:space="preserve">%  </w:t>
            </w:r>
          </w:p>
          <w:p>
            <w:pPr>
              <w:widowControl/>
              <w:spacing w:line="240" w:lineRule="exact"/>
              <w:jc w:val="center"/>
              <w:textAlignment w:val="center"/>
              <w:rPr>
                <w:rFonts w:hint="eastAsia" w:ascii="仿宋" w:hAnsi="仿宋" w:eastAsia="仿宋" w:cs="仿宋"/>
                <w:b w:val="0"/>
                <w:bCs w:val="0"/>
                <w:color w:val="auto"/>
                <w:kern w:val="0"/>
                <w:sz w:val="24"/>
                <w:szCs w:val="24"/>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rPr>
              <w:t>1次/年</w:t>
            </w:r>
          </w:p>
        </w:tc>
      </w:tr>
    </w:tbl>
    <w:p>
      <w:pPr>
        <w:rPr>
          <w:rFonts w:asciiTheme="minorEastAsia" w:hAnsiTheme="minorEastAsia" w:eastAsiaTheme="minorEastAsia"/>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82528"/>
    <w:multiLevelType w:val="singleLevel"/>
    <w:tmpl w:val="6238252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NTlmNGY1MTJlMTA0ZGY3Y2MwNThiMDkyMzNmMTcifQ=="/>
  </w:docVars>
  <w:rsids>
    <w:rsidRoot w:val="005B3856"/>
    <w:rsid w:val="00004F52"/>
    <w:rsid w:val="00043820"/>
    <w:rsid w:val="00046E48"/>
    <w:rsid w:val="00065DBB"/>
    <w:rsid w:val="000758EC"/>
    <w:rsid w:val="00086F19"/>
    <w:rsid w:val="0008742A"/>
    <w:rsid w:val="00090011"/>
    <w:rsid w:val="000A3DB1"/>
    <w:rsid w:val="000B3230"/>
    <w:rsid w:val="000B5765"/>
    <w:rsid w:val="0010218F"/>
    <w:rsid w:val="00121389"/>
    <w:rsid w:val="00130FE0"/>
    <w:rsid w:val="001362C3"/>
    <w:rsid w:val="001705BA"/>
    <w:rsid w:val="00174471"/>
    <w:rsid w:val="0017754D"/>
    <w:rsid w:val="00190680"/>
    <w:rsid w:val="00195EFA"/>
    <w:rsid w:val="001A4739"/>
    <w:rsid w:val="001B2A61"/>
    <w:rsid w:val="001C50E7"/>
    <w:rsid w:val="001D1599"/>
    <w:rsid w:val="001D37EF"/>
    <w:rsid w:val="001D43D1"/>
    <w:rsid w:val="001E0BA9"/>
    <w:rsid w:val="001E617C"/>
    <w:rsid w:val="00211144"/>
    <w:rsid w:val="0022112E"/>
    <w:rsid w:val="00223056"/>
    <w:rsid w:val="002242C5"/>
    <w:rsid w:val="00233C72"/>
    <w:rsid w:val="0023615C"/>
    <w:rsid w:val="00251549"/>
    <w:rsid w:val="002652D4"/>
    <w:rsid w:val="0027013F"/>
    <w:rsid w:val="00272C18"/>
    <w:rsid w:val="00285F0A"/>
    <w:rsid w:val="002D51FA"/>
    <w:rsid w:val="002F1F3F"/>
    <w:rsid w:val="002F2068"/>
    <w:rsid w:val="002F5E19"/>
    <w:rsid w:val="00307792"/>
    <w:rsid w:val="00307963"/>
    <w:rsid w:val="00322A26"/>
    <w:rsid w:val="00326632"/>
    <w:rsid w:val="00340BFE"/>
    <w:rsid w:val="00370D1A"/>
    <w:rsid w:val="00384B9C"/>
    <w:rsid w:val="003A7B8A"/>
    <w:rsid w:val="003B5970"/>
    <w:rsid w:val="00403ACB"/>
    <w:rsid w:val="00404554"/>
    <w:rsid w:val="00411E65"/>
    <w:rsid w:val="004153B3"/>
    <w:rsid w:val="0043798B"/>
    <w:rsid w:val="00460892"/>
    <w:rsid w:val="004653F7"/>
    <w:rsid w:val="004B1BAD"/>
    <w:rsid w:val="004C112B"/>
    <w:rsid w:val="004C1F87"/>
    <w:rsid w:val="004C74F6"/>
    <w:rsid w:val="004D1422"/>
    <w:rsid w:val="004D2D49"/>
    <w:rsid w:val="004D794D"/>
    <w:rsid w:val="00514E2B"/>
    <w:rsid w:val="005172CC"/>
    <w:rsid w:val="00532358"/>
    <w:rsid w:val="0053538B"/>
    <w:rsid w:val="00561843"/>
    <w:rsid w:val="00586906"/>
    <w:rsid w:val="00596886"/>
    <w:rsid w:val="005B3856"/>
    <w:rsid w:val="005D4C30"/>
    <w:rsid w:val="005F4A35"/>
    <w:rsid w:val="00604B68"/>
    <w:rsid w:val="0060524A"/>
    <w:rsid w:val="00615524"/>
    <w:rsid w:val="0062286B"/>
    <w:rsid w:val="00630F38"/>
    <w:rsid w:val="006316CE"/>
    <w:rsid w:val="006340B1"/>
    <w:rsid w:val="00644D73"/>
    <w:rsid w:val="00650547"/>
    <w:rsid w:val="00650C0D"/>
    <w:rsid w:val="0066125D"/>
    <w:rsid w:val="006613BE"/>
    <w:rsid w:val="00667296"/>
    <w:rsid w:val="00682633"/>
    <w:rsid w:val="00683BE7"/>
    <w:rsid w:val="006A564A"/>
    <w:rsid w:val="006A77FC"/>
    <w:rsid w:val="006B5028"/>
    <w:rsid w:val="006B62E8"/>
    <w:rsid w:val="006C2579"/>
    <w:rsid w:val="006C657B"/>
    <w:rsid w:val="006C7D6F"/>
    <w:rsid w:val="006E495C"/>
    <w:rsid w:val="006E5FA2"/>
    <w:rsid w:val="006F4985"/>
    <w:rsid w:val="00713B63"/>
    <w:rsid w:val="00742EBA"/>
    <w:rsid w:val="007455C1"/>
    <w:rsid w:val="007549F7"/>
    <w:rsid w:val="00786BC9"/>
    <w:rsid w:val="007934B7"/>
    <w:rsid w:val="00796485"/>
    <w:rsid w:val="007A3576"/>
    <w:rsid w:val="007A60CE"/>
    <w:rsid w:val="007B4B26"/>
    <w:rsid w:val="007C49FA"/>
    <w:rsid w:val="007E7898"/>
    <w:rsid w:val="007F1620"/>
    <w:rsid w:val="007F499F"/>
    <w:rsid w:val="0080384F"/>
    <w:rsid w:val="00827C79"/>
    <w:rsid w:val="00830EAD"/>
    <w:rsid w:val="0084251A"/>
    <w:rsid w:val="00846614"/>
    <w:rsid w:val="008522BC"/>
    <w:rsid w:val="00866EAA"/>
    <w:rsid w:val="008702FD"/>
    <w:rsid w:val="008971FE"/>
    <w:rsid w:val="008E0680"/>
    <w:rsid w:val="008E0AF4"/>
    <w:rsid w:val="00917A93"/>
    <w:rsid w:val="00920CF5"/>
    <w:rsid w:val="00934DBD"/>
    <w:rsid w:val="009533CF"/>
    <w:rsid w:val="0096478A"/>
    <w:rsid w:val="009A19E6"/>
    <w:rsid w:val="009B4854"/>
    <w:rsid w:val="009F68AC"/>
    <w:rsid w:val="00A70F0A"/>
    <w:rsid w:val="00A83477"/>
    <w:rsid w:val="00A841D1"/>
    <w:rsid w:val="00AB4476"/>
    <w:rsid w:val="00AB574B"/>
    <w:rsid w:val="00AE0715"/>
    <w:rsid w:val="00B0032E"/>
    <w:rsid w:val="00B157F9"/>
    <w:rsid w:val="00B30062"/>
    <w:rsid w:val="00B35AF0"/>
    <w:rsid w:val="00B44323"/>
    <w:rsid w:val="00B46386"/>
    <w:rsid w:val="00B47ED9"/>
    <w:rsid w:val="00B67BD9"/>
    <w:rsid w:val="00B75CAA"/>
    <w:rsid w:val="00B81EBB"/>
    <w:rsid w:val="00B85E00"/>
    <w:rsid w:val="00BA57B5"/>
    <w:rsid w:val="00BF4521"/>
    <w:rsid w:val="00C02F16"/>
    <w:rsid w:val="00C176B3"/>
    <w:rsid w:val="00C17CC6"/>
    <w:rsid w:val="00C55EAF"/>
    <w:rsid w:val="00C65874"/>
    <w:rsid w:val="00C75A84"/>
    <w:rsid w:val="00C827A8"/>
    <w:rsid w:val="00C924B2"/>
    <w:rsid w:val="00C931F2"/>
    <w:rsid w:val="00CA7707"/>
    <w:rsid w:val="00CC350F"/>
    <w:rsid w:val="00CD5D73"/>
    <w:rsid w:val="00CD62DB"/>
    <w:rsid w:val="00CE70BD"/>
    <w:rsid w:val="00CF5AAF"/>
    <w:rsid w:val="00D13065"/>
    <w:rsid w:val="00D214B8"/>
    <w:rsid w:val="00D22913"/>
    <w:rsid w:val="00D334FC"/>
    <w:rsid w:val="00D630ED"/>
    <w:rsid w:val="00D634E8"/>
    <w:rsid w:val="00D732EF"/>
    <w:rsid w:val="00D761C7"/>
    <w:rsid w:val="00D77151"/>
    <w:rsid w:val="00D8254F"/>
    <w:rsid w:val="00D878E2"/>
    <w:rsid w:val="00DA6703"/>
    <w:rsid w:val="00DC0342"/>
    <w:rsid w:val="00DD1472"/>
    <w:rsid w:val="00DD5F6C"/>
    <w:rsid w:val="00DF184D"/>
    <w:rsid w:val="00E053A9"/>
    <w:rsid w:val="00E5455A"/>
    <w:rsid w:val="00E752C7"/>
    <w:rsid w:val="00E778D5"/>
    <w:rsid w:val="00E77E33"/>
    <w:rsid w:val="00E910FE"/>
    <w:rsid w:val="00EC17C9"/>
    <w:rsid w:val="00ED5C2A"/>
    <w:rsid w:val="00EE40EC"/>
    <w:rsid w:val="00F06BD6"/>
    <w:rsid w:val="00F07B82"/>
    <w:rsid w:val="00F13238"/>
    <w:rsid w:val="00F215F7"/>
    <w:rsid w:val="00F23991"/>
    <w:rsid w:val="00F25382"/>
    <w:rsid w:val="00F27D20"/>
    <w:rsid w:val="00F31348"/>
    <w:rsid w:val="00F54A28"/>
    <w:rsid w:val="00F61E47"/>
    <w:rsid w:val="00F8077D"/>
    <w:rsid w:val="00F933AE"/>
    <w:rsid w:val="00FA2E3B"/>
    <w:rsid w:val="00FD204F"/>
    <w:rsid w:val="00FD3DCA"/>
    <w:rsid w:val="00FD4CD3"/>
    <w:rsid w:val="00FE69EB"/>
    <w:rsid w:val="00FF6DC3"/>
    <w:rsid w:val="00FF73AB"/>
    <w:rsid w:val="010F1DA1"/>
    <w:rsid w:val="012A0989"/>
    <w:rsid w:val="044C440D"/>
    <w:rsid w:val="060E4CC2"/>
    <w:rsid w:val="085C5E54"/>
    <w:rsid w:val="08BE3B2D"/>
    <w:rsid w:val="09BA2737"/>
    <w:rsid w:val="0A5C7D4D"/>
    <w:rsid w:val="0B9F1F73"/>
    <w:rsid w:val="0E1100CC"/>
    <w:rsid w:val="1054157E"/>
    <w:rsid w:val="12695089"/>
    <w:rsid w:val="14E55B14"/>
    <w:rsid w:val="16FC6AF3"/>
    <w:rsid w:val="1712762D"/>
    <w:rsid w:val="17263548"/>
    <w:rsid w:val="1761528A"/>
    <w:rsid w:val="18573016"/>
    <w:rsid w:val="1B1C713C"/>
    <w:rsid w:val="1C000B7B"/>
    <w:rsid w:val="1F3507CD"/>
    <w:rsid w:val="20CB68DC"/>
    <w:rsid w:val="21F45804"/>
    <w:rsid w:val="23724D03"/>
    <w:rsid w:val="237A2E51"/>
    <w:rsid w:val="24BA63DB"/>
    <w:rsid w:val="277239D3"/>
    <w:rsid w:val="27912C60"/>
    <w:rsid w:val="2CF73565"/>
    <w:rsid w:val="2D50341B"/>
    <w:rsid w:val="2DB92065"/>
    <w:rsid w:val="2ED27D22"/>
    <w:rsid w:val="2F1403FE"/>
    <w:rsid w:val="2FCE3D58"/>
    <w:rsid w:val="30F027A5"/>
    <w:rsid w:val="316136A3"/>
    <w:rsid w:val="31874A44"/>
    <w:rsid w:val="32222E32"/>
    <w:rsid w:val="334E5EA9"/>
    <w:rsid w:val="34092494"/>
    <w:rsid w:val="36C3270A"/>
    <w:rsid w:val="36D2350C"/>
    <w:rsid w:val="372238D5"/>
    <w:rsid w:val="3B452F05"/>
    <w:rsid w:val="3BBD3BCC"/>
    <w:rsid w:val="3C6679E5"/>
    <w:rsid w:val="3D03299D"/>
    <w:rsid w:val="3D0D2931"/>
    <w:rsid w:val="3FAE3C4B"/>
    <w:rsid w:val="443E76F6"/>
    <w:rsid w:val="44E54964"/>
    <w:rsid w:val="45EA7CB3"/>
    <w:rsid w:val="46520646"/>
    <w:rsid w:val="481B3565"/>
    <w:rsid w:val="4A381B21"/>
    <w:rsid w:val="4B6B53F2"/>
    <w:rsid w:val="4CC052CA"/>
    <w:rsid w:val="4CF01857"/>
    <w:rsid w:val="4E801E19"/>
    <w:rsid w:val="4EE96D5A"/>
    <w:rsid w:val="4F0E3734"/>
    <w:rsid w:val="51901536"/>
    <w:rsid w:val="523D414A"/>
    <w:rsid w:val="52B07B8F"/>
    <w:rsid w:val="549239F0"/>
    <w:rsid w:val="5496721A"/>
    <w:rsid w:val="552A1E7A"/>
    <w:rsid w:val="558905E7"/>
    <w:rsid w:val="58B27942"/>
    <w:rsid w:val="59417793"/>
    <w:rsid w:val="5B0A3CB9"/>
    <w:rsid w:val="5CAD7E8C"/>
    <w:rsid w:val="5D3A2E77"/>
    <w:rsid w:val="5F7A39FE"/>
    <w:rsid w:val="641B62B8"/>
    <w:rsid w:val="66BB6220"/>
    <w:rsid w:val="695E7EED"/>
    <w:rsid w:val="696A6BE8"/>
    <w:rsid w:val="6A710359"/>
    <w:rsid w:val="6B103427"/>
    <w:rsid w:val="6C81461E"/>
    <w:rsid w:val="6CCC3EE3"/>
    <w:rsid w:val="6F2635E5"/>
    <w:rsid w:val="6F953FA6"/>
    <w:rsid w:val="715D43F0"/>
    <w:rsid w:val="733B648C"/>
    <w:rsid w:val="742A0B9B"/>
    <w:rsid w:val="764741E2"/>
    <w:rsid w:val="78665118"/>
    <w:rsid w:val="7A2D69E0"/>
    <w:rsid w:val="7DBA02A2"/>
    <w:rsid w:val="7E05786C"/>
    <w:rsid w:val="7E1D1BAF"/>
    <w:rsid w:val="7E252C33"/>
    <w:rsid w:val="B666F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tdfont1"/>
    <w:basedOn w:val="8"/>
    <w:qFormat/>
    <w:uiPriority w:val="0"/>
    <w:rPr>
      <w:rFonts w:hint="eastAsia" w:ascii="宋体" w:hAnsi="宋体" w:eastAsia="宋体" w:cs="宋体"/>
      <w:color w:val="000000"/>
      <w:sz w:val="22"/>
      <w:szCs w:val="22"/>
    </w:rPr>
  </w:style>
  <w:style w:type="character" w:customStyle="1" w:styleId="12">
    <w:name w:val="日期 Char"/>
    <w:basedOn w:val="8"/>
    <w:link w:val="2"/>
    <w:semiHidden/>
    <w:qFormat/>
    <w:uiPriority w:val="99"/>
    <w:rPr>
      <w:rFonts w:ascii="Times New Roman" w:hAnsi="Times New Roman" w:eastAsia="仿宋" w:cs="Times New Roman"/>
      <w:sz w:val="32"/>
      <w:szCs w:val="32"/>
    </w:rPr>
  </w:style>
  <w:style w:type="character" w:customStyle="1" w:styleId="13">
    <w:name w:val="font61"/>
    <w:basedOn w:val="8"/>
    <w:qFormat/>
    <w:uiPriority w:val="0"/>
    <w:rPr>
      <w:rFonts w:hint="eastAsia" w:ascii="宋体" w:hAnsi="宋体" w:eastAsia="宋体" w:cs="宋体"/>
      <w:color w:val="000000"/>
      <w:sz w:val="20"/>
      <w:szCs w:val="20"/>
      <w:u w:val="none"/>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页眉 Char"/>
    <w:basedOn w:val="8"/>
    <w:link w:val="4"/>
    <w:semiHidden/>
    <w:qFormat/>
    <w:uiPriority w:val="99"/>
    <w:rPr>
      <w:rFonts w:ascii="Times New Roman" w:hAnsi="Times New Roman" w:eastAsia="仿宋" w:cs="Times New Roman"/>
      <w:sz w:val="18"/>
      <w:szCs w:val="18"/>
    </w:rPr>
  </w:style>
  <w:style w:type="character" w:customStyle="1" w:styleId="16">
    <w:name w:val="页脚 Char"/>
    <w:basedOn w:val="8"/>
    <w:link w:val="3"/>
    <w:semiHidden/>
    <w:qFormat/>
    <w:uiPriority w:val="99"/>
    <w:rPr>
      <w:rFonts w:ascii="Times New Roman" w:hAnsi="Times New Roman" w:eastAsia="仿宋" w:cs="Times New Roman"/>
      <w:sz w:val="18"/>
      <w:szCs w:val="18"/>
    </w:rPr>
  </w:style>
  <w:style w:type="character" w:customStyle="1" w:styleId="17">
    <w:name w:val="bjh-p"/>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7057</Words>
  <Characters>7187</Characters>
  <Lines>87</Lines>
  <Paragraphs>24</Paragraphs>
  <TotalTime>10</TotalTime>
  <ScaleCrop>false</ScaleCrop>
  <LinksUpToDate>false</LinksUpToDate>
  <CharactersWithSpaces>7313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2022-03-22T08:47:00Z</dcterms:created>
  <dc:creator>Administrator</dc:creator>
  <cp:lastModifiedBy>伦</cp:lastModifiedBy>
  <cp:lastPrinted>2021-04-12T09:26:00Z</cp:lastPrinted>
  <dcterms:modified xsi:type="dcterms:W3CDTF">2023-04-13T03:52:42Z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4D0B257C8E174F4096D027049713CF56_13</vt:lpwstr>
  </property>
</Properties>
</file>