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sz w:val="28"/>
        </w:rPr>
      </w:pPr>
      <w:bookmarkStart w:id="2" w:name="_GoBack"/>
      <w:bookmarkEnd w:id="2"/>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sz w:val="28"/>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sz w:val="28"/>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sz w:val="28"/>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sz w:val="28"/>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
          <w:sz w:val="32"/>
          <w:szCs w:val="32"/>
        </w:rPr>
      </w:pPr>
    </w:p>
    <w:p>
      <w:pPr>
        <w:spacing w:line="600" w:lineRule="exact"/>
        <w:jc w:val="center"/>
        <w:rPr>
          <w:rFonts w:hint="eastAsia" w:ascii="宋体" w:hAnsi="宋体"/>
          <w:sz w:val="28"/>
        </w:rPr>
      </w:pPr>
      <w:r>
        <w:rPr>
          <w:rFonts w:hint="eastAsia" w:ascii="仿宋" w:hAnsi="仿宋" w:eastAsia="仿宋" w:cs="仿宋"/>
          <w:sz w:val="32"/>
          <w:szCs w:val="32"/>
        </w:rPr>
        <w:t>昌府</w:t>
      </w:r>
      <w:r>
        <w:rPr>
          <w:rFonts w:hint="eastAsia" w:ascii="仿宋" w:hAnsi="仿宋" w:eastAsia="仿宋" w:cs="仿宋"/>
          <w:sz w:val="32"/>
          <w:szCs w:val="32"/>
          <w:lang w:eastAsia="zh-CN"/>
        </w:rPr>
        <w:t>办</w:t>
      </w:r>
      <w:r>
        <w:rPr>
          <w:rFonts w:hint="eastAsia" w:ascii="仿宋" w:hAnsi="仿宋" w:eastAsia="仿宋" w:cs="仿宋"/>
          <w:sz w:val="32"/>
          <w:szCs w:val="32"/>
        </w:rPr>
        <w:t>字〔</w:t>
      </w:r>
      <w:r>
        <w:rPr>
          <w:rFonts w:hint="eastAsia" w:ascii="仿宋" w:hAnsi="仿宋" w:eastAsia="仿宋" w:cs="仿宋"/>
          <w:sz w:val="32"/>
          <w:szCs w:val="32"/>
          <w:lang w:val="en-US" w:eastAsia="zh-CN"/>
        </w:rPr>
        <w:t>2021</w:t>
      </w:r>
      <w:r>
        <w:rPr>
          <w:rFonts w:hint="eastAsia" w:ascii="仿宋" w:hAnsi="仿宋" w:eastAsia="仿宋" w:cs="仿宋"/>
          <w:sz w:val="32"/>
          <w:szCs w:val="32"/>
        </w:rPr>
        <w:t>〕</w:t>
      </w:r>
      <w:r>
        <w:rPr>
          <w:rFonts w:hint="eastAsia" w:ascii="仿宋" w:hAnsi="仿宋" w:eastAsia="仿宋" w:cs="仿宋"/>
          <w:sz w:val="32"/>
          <w:szCs w:val="32"/>
          <w:lang w:val="en-US" w:eastAsia="zh-CN"/>
        </w:rPr>
        <w:t>38</w:t>
      </w:r>
      <w:r>
        <w:rPr>
          <w:rFonts w:hint="eastAsia" w:ascii="仿宋" w:hAnsi="仿宋" w:eastAsia="仿宋" w:cs="仿宋"/>
          <w:sz w:val="32"/>
          <w:szCs w:val="32"/>
        </w:rPr>
        <w:t>号</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b/>
          <w:sz w:val="36"/>
          <w:szCs w:val="36"/>
        </w:rPr>
      </w:pP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b/>
          <w:sz w:val="36"/>
          <w:szCs w:val="36"/>
        </w:rPr>
      </w:pPr>
    </w:p>
    <w:p>
      <w:pPr>
        <w:keepNext w:val="0"/>
        <w:keepLines w:val="0"/>
        <w:pageBreakBefore w:val="0"/>
        <w:widowControl/>
        <w:kinsoku/>
        <w:wordWrap/>
        <w:overflowPunct/>
        <w:topLinePunct w:val="0"/>
        <w:autoSpaceDE/>
        <w:autoSpaceDN/>
        <w:bidi w:val="0"/>
        <w:adjustRightInd w:val="0"/>
        <w:snapToGrid w:val="0"/>
        <w:spacing w:after="0" w:line="220" w:lineRule="atLeas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关于印发</w:t>
      </w:r>
      <w:r>
        <w:rPr>
          <w:rFonts w:hint="eastAsia" w:ascii="方正小标宋简体" w:hAnsi="方正小标宋简体" w:eastAsia="方正小标宋简体" w:cs="方正小标宋简体"/>
          <w:b w:val="0"/>
          <w:bCs w:val="0"/>
          <w:sz w:val="44"/>
          <w:szCs w:val="44"/>
          <w:lang w:eastAsia="zh-CN"/>
        </w:rPr>
        <w:t>《</w:t>
      </w:r>
      <w:r>
        <w:rPr>
          <w:rFonts w:hint="eastAsia" w:ascii="方正小标宋简体" w:hAnsi="方正小标宋简体" w:eastAsia="方正小标宋简体"/>
          <w:bCs/>
          <w:color w:val="000000"/>
          <w:sz w:val="44"/>
          <w:szCs w:val="44"/>
        </w:rPr>
        <w:t>昌江区</w:t>
      </w:r>
      <w:r>
        <w:rPr>
          <w:rFonts w:ascii="方正小标宋简体" w:hAnsi="方正小标宋简体" w:eastAsia="方正小标宋简体"/>
          <w:bCs/>
          <w:color w:val="000000"/>
          <w:sz w:val="44"/>
          <w:szCs w:val="44"/>
        </w:rPr>
        <w:t>“十四五”消防救援事业发展规划</w:t>
      </w:r>
      <w:r>
        <w:rPr>
          <w:rFonts w:hint="eastAsia" w:ascii="方正小标宋简体" w:hAnsi="方正小标宋简体" w:eastAsia="方正小标宋简体" w:cs="方正小标宋简体"/>
          <w:b w:val="0"/>
          <w:bCs w:val="0"/>
          <w:sz w:val="44"/>
          <w:szCs w:val="44"/>
          <w:lang w:eastAsia="zh-CN"/>
        </w:rPr>
        <w:t>》</w:t>
      </w:r>
      <w:r>
        <w:rPr>
          <w:rFonts w:hint="eastAsia" w:ascii="方正小标宋简体" w:hAnsi="方正小标宋简体" w:eastAsia="方正小标宋简体" w:cs="方正小标宋简体"/>
          <w:b w:val="0"/>
          <w:bCs w:val="0"/>
          <w:sz w:val="44"/>
          <w:szCs w:val="44"/>
        </w:rPr>
        <w:t>的通知</w:t>
      </w:r>
    </w:p>
    <w:p>
      <w:pPr>
        <w:pStyle w:val="4"/>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Times New Roman" w:eastAsia="仿宋_GB2312" w:cs="Times New Roman"/>
          <w:sz w:val="30"/>
          <w:szCs w:val="30"/>
        </w:rPr>
      </w:pPr>
    </w:p>
    <w:p>
      <w:pPr>
        <w:spacing w:line="560" w:lineRule="exact"/>
        <w:rPr>
          <w:rFonts w:hint="eastAsia" w:ascii="仿宋" w:hAnsi="仿宋" w:eastAsia="仿宋" w:cs="仿宋"/>
          <w:color w:val="000000"/>
          <w:sz w:val="32"/>
          <w:szCs w:val="32"/>
        </w:rPr>
      </w:pPr>
      <w:r>
        <w:rPr>
          <w:rFonts w:hint="eastAsia" w:ascii="仿宋" w:hAnsi="仿宋" w:eastAsia="仿宋" w:cs="仿宋"/>
          <w:color w:val="000000"/>
          <w:sz w:val="32"/>
          <w:szCs w:val="32"/>
        </w:rPr>
        <w:t>各乡（镇）人民政府、</w:t>
      </w:r>
      <w:r>
        <w:rPr>
          <w:rFonts w:hint="eastAsia" w:ascii="仿宋" w:hAnsi="仿宋" w:eastAsia="仿宋" w:cs="仿宋"/>
          <w:color w:val="000000"/>
          <w:sz w:val="32"/>
          <w:szCs w:val="32"/>
          <w:lang w:eastAsia="zh-CN"/>
        </w:rPr>
        <w:t>街道办事处，</w:t>
      </w:r>
      <w:r>
        <w:rPr>
          <w:rFonts w:hint="eastAsia" w:ascii="仿宋" w:hAnsi="仿宋" w:eastAsia="仿宋" w:cs="仿宋"/>
          <w:color w:val="000000"/>
          <w:sz w:val="32"/>
          <w:szCs w:val="32"/>
        </w:rPr>
        <w:t>区政府</w:t>
      </w:r>
      <w:r>
        <w:rPr>
          <w:rFonts w:hint="eastAsia" w:ascii="仿宋" w:hAnsi="仿宋" w:eastAsia="仿宋" w:cs="仿宋"/>
          <w:color w:val="000000"/>
          <w:sz w:val="32"/>
          <w:szCs w:val="32"/>
          <w:lang w:eastAsia="zh-CN"/>
        </w:rPr>
        <w:t>各</w:t>
      </w:r>
      <w:r>
        <w:rPr>
          <w:rFonts w:hint="eastAsia" w:ascii="仿宋" w:hAnsi="仿宋" w:eastAsia="仿宋" w:cs="仿宋"/>
          <w:color w:val="000000"/>
          <w:sz w:val="32"/>
          <w:szCs w:val="32"/>
        </w:rPr>
        <w:t>部门</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区直</w:t>
      </w:r>
      <w:r>
        <w:rPr>
          <w:rFonts w:hint="eastAsia" w:ascii="仿宋" w:hAnsi="仿宋" w:eastAsia="仿宋" w:cs="仿宋"/>
          <w:color w:val="000000"/>
          <w:sz w:val="32"/>
          <w:szCs w:val="32"/>
          <w:lang w:eastAsia="zh-CN"/>
        </w:rPr>
        <w:t>各</w:t>
      </w:r>
      <w:r>
        <w:rPr>
          <w:rFonts w:hint="eastAsia" w:ascii="仿宋" w:hAnsi="仿宋" w:eastAsia="仿宋" w:cs="仿宋"/>
          <w:color w:val="000000"/>
          <w:sz w:val="32"/>
          <w:szCs w:val="32"/>
        </w:rPr>
        <w:t>单位：</w:t>
      </w:r>
    </w:p>
    <w:p>
      <w:pPr>
        <w:spacing w:line="560" w:lineRule="exact"/>
        <w:ind w:firstLine="640" w:firstLineChars="200"/>
        <w:rPr>
          <w:rFonts w:hint="eastAsia" w:ascii="仿宋" w:hAnsi="仿宋" w:eastAsia="仿宋" w:cs="仿宋"/>
          <w:bCs/>
          <w:color w:val="000000"/>
          <w:sz w:val="32"/>
          <w:szCs w:val="32"/>
        </w:rPr>
      </w:pPr>
      <w:r>
        <w:rPr>
          <w:rFonts w:hint="eastAsia" w:ascii="仿宋" w:hAnsi="仿宋" w:eastAsia="仿宋" w:cs="仿宋"/>
          <w:bCs/>
          <w:color w:val="000000"/>
          <w:sz w:val="32"/>
          <w:szCs w:val="32"/>
        </w:rPr>
        <w:t>《</w:t>
      </w:r>
      <w:r>
        <w:rPr>
          <w:rFonts w:hint="eastAsia" w:ascii="仿宋" w:hAnsi="仿宋" w:eastAsia="仿宋" w:cs="仿宋"/>
          <w:bCs/>
          <w:color w:val="000000"/>
          <w:sz w:val="32"/>
          <w:szCs w:val="32"/>
          <w:lang w:eastAsia="zh-CN"/>
        </w:rPr>
        <w:t>昌江区“十四五”消防救援事业发展规划</w:t>
      </w:r>
      <w:r>
        <w:rPr>
          <w:rFonts w:hint="eastAsia" w:ascii="仿宋" w:hAnsi="仿宋" w:eastAsia="仿宋" w:cs="仿宋"/>
          <w:bCs/>
          <w:color w:val="000000"/>
          <w:sz w:val="32"/>
          <w:szCs w:val="32"/>
        </w:rPr>
        <w:t>》已经区政府研究同意，现印发给你们，请认真贯彻执行。</w:t>
      </w:r>
    </w:p>
    <w:p>
      <w:pPr>
        <w:spacing w:line="560" w:lineRule="exact"/>
        <w:ind w:firstLine="640" w:firstLineChars="200"/>
        <w:rPr>
          <w:rFonts w:hint="eastAsia" w:ascii="仿宋" w:hAnsi="仿宋" w:eastAsia="仿宋" w:cs="仿宋"/>
          <w:bCs/>
          <w:color w:val="000000"/>
          <w:sz w:val="32"/>
          <w:szCs w:val="32"/>
        </w:rPr>
      </w:pPr>
    </w:p>
    <w:p>
      <w:pPr>
        <w:spacing w:line="560" w:lineRule="exact"/>
        <w:ind w:firstLine="640" w:firstLineChars="200"/>
        <w:rPr>
          <w:rFonts w:hint="eastAsia" w:ascii="仿宋" w:hAnsi="仿宋" w:eastAsia="仿宋" w:cs="仿宋"/>
          <w:bCs/>
          <w:color w:val="000000"/>
          <w:sz w:val="32"/>
          <w:szCs w:val="32"/>
        </w:rPr>
      </w:pPr>
    </w:p>
    <w:p>
      <w:pPr>
        <w:spacing w:line="560" w:lineRule="exact"/>
        <w:ind w:firstLine="640" w:firstLineChars="200"/>
        <w:rPr>
          <w:rFonts w:hint="eastAsia" w:ascii="仿宋" w:hAnsi="仿宋" w:eastAsia="仿宋" w:cs="仿宋"/>
          <w:bCs/>
          <w:color w:val="000000"/>
          <w:sz w:val="32"/>
          <w:szCs w:val="32"/>
        </w:rPr>
      </w:pPr>
    </w:p>
    <w:p>
      <w:pPr>
        <w:spacing w:line="560" w:lineRule="exact"/>
        <w:ind w:right="320" w:firstLine="640" w:firstLineChars="200"/>
        <w:jc w:val="right"/>
        <w:rPr>
          <w:rFonts w:hint="eastAsia" w:ascii="仿宋" w:hAnsi="仿宋" w:eastAsia="仿宋" w:cs="仿宋"/>
          <w:color w:val="000000"/>
          <w:sz w:val="32"/>
          <w:szCs w:val="32"/>
        </w:rPr>
      </w:pPr>
      <w:r>
        <w:rPr>
          <w:rFonts w:hint="eastAsia" w:ascii="仿宋" w:hAnsi="仿宋" w:eastAsia="仿宋" w:cs="仿宋"/>
          <w:bCs/>
          <w:color w:val="000000"/>
          <w:sz w:val="32"/>
          <w:szCs w:val="32"/>
        </w:rPr>
        <w:t>202</w:t>
      </w:r>
      <w:r>
        <w:rPr>
          <w:rFonts w:hint="eastAsia" w:ascii="仿宋" w:hAnsi="仿宋" w:eastAsia="仿宋" w:cs="仿宋"/>
          <w:bCs/>
          <w:color w:val="000000"/>
          <w:sz w:val="32"/>
          <w:szCs w:val="32"/>
          <w:lang w:val="en-US" w:eastAsia="zh-CN"/>
        </w:rPr>
        <w:t>1</w:t>
      </w:r>
      <w:r>
        <w:rPr>
          <w:rFonts w:hint="eastAsia" w:ascii="仿宋" w:hAnsi="仿宋" w:eastAsia="仿宋" w:cs="仿宋"/>
          <w:bCs/>
          <w:color w:val="000000"/>
          <w:sz w:val="32"/>
          <w:szCs w:val="32"/>
        </w:rPr>
        <w:t>年</w:t>
      </w:r>
      <w:r>
        <w:rPr>
          <w:rFonts w:hint="eastAsia" w:ascii="仿宋" w:hAnsi="仿宋" w:eastAsia="仿宋" w:cs="仿宋"/>
          <w:bCs/>
          <w:color w:val="000000"/>
          <w:sz w:val="32"/>
          <w:szCs w:val="32"/>
          <w:lang w:val="en-US" w:eastAsia="zh-CN"/>
        </w:rPr>
        <w:t>12</w:t>
      </w:r>
      <w:r>
        <w:rPr>
          <w:rFonts w:hint="eastAsia" w:ascii="仿宋" w:hAnsi="仿宋" w:eastAsia="仿宋" w:cs="仿宋"/>
          <w:bCs/>
          <w:color w:val="000000"/>
          <w:sz w:val="32"/>
          <w:szCs w:val="32"/>
        </w:rPr>
        <w:t>月</w:t>
      </w:r>
      <w:r>
        <w:rPr>
          <w:rFonts w:hint="eastAsia" w:ascii="仿宋" w:hAnsi="仿宋" w:eastAsia="仿宋" w:cs="仿宋"/>
          <w:bCs/>
          <w:color w:val="000000"/>
          <w:sz w:val="32"/>
          <w:szCs w:val="32"/>
          <w:lang w:val="en-US" w:eastAsia="zh-CN"/>
        </w:rPr>
        <w:t>23</w:t>
      </w:r>
      <w:r>
        <w:rPr>
          <w:rFonts w:hint="eastAsia" w:ascii="仿宋" w:hAnsi="仿宋" w:eastAsia="仿宋" w:cs="仿宋"/>
          <w:bCs/>
          <w:color w:val="000000"/>
          <w:sz w:val="32"/>
          <w:szCs w:val="32"/>
        </w:rPr>
        <w:t>日</w:t>
      </w:r>
    </w:p>
    <w:p>
      <w:pPr>
        <w:spacing w:line="560" w:lineRule="exact"/>
        <w:jc w:val="center"/>
        <w:rPr>
          <w:rFonts w:hint="eastAsia" w:ascii="仿宋" w:hAnsi="仿宋" w:eastAsia="仿宋" w:cs="仿宋"/>
          <w:color w:val="000000"/>
          <w:sz w:val="32"/>
          <w:szCs w:val="32"/>
        </w:rPr>
      </w:pPr>
    </w:p>
    <w:p>
      <w:pPr>
        <w:spacing w:line="560" w:lineRule="exact"/>
        <w:jc w:val="center"/>
        <w:rPr>
          <w:rFonts w:hint="eastAsia" w:cs="仿宋_GB2312" w:asciiTheme="minorEastAsia" w:hAnsiTheme="minorEastAsia" w:eastAsiaTheme="minorEastAsia"/>
          <w:color w:val="000000"/>
          <w:sz w:val="44"/>
          <w:szCs w:val="44"/>
        </w:rPr>
      </w:pPr>
    </w:p>
    <w:p>
      <w:pPr>
        <w:spacing w:line="560" w:lineRule="exact"/>
        <w:jc w:val="both"/>
        <w:rPr>
          <w:rFonts w:hint="eastAsia" w:cs="仿宋_GB2312" w:asciiTheme="minorEastAsia" w:hAnsiTheme="minorEastAsia" w:eastAsiaTheme="minorEastAsia"/>
          <w:color w:val="000000"/>
          <w:sz w:val="44"/>
          <w:szCs w:val="44"/>
        </w:rPr>
      </w:pPr>
    </w:p>
    <w:p>
      <w:pPr>
        <w:keepNext w:val="0"/>
        <w:keepLines w:val="0"/>
        <w:pageBreakBefore w:val="0"/>
        <w:widowControl/>
        <w:kinsoku/>
        <w:wordWrap/>
        <w:overflowPunct/>
        <w:topLinePunct w:val="0"/>
        <w:autoSpaceDE/>
        <w:autoSpaceDN/>
        <w:bidi w:val="0"/>
        <w:adjustRightInd w:val="0"/>
        <w:snapToGrid w:val="0"/>
        <w:spacing w:after="0" w:line="220" w:lineRule="atLeast"/>
        <w:jc w:val="center"/>
        <w:textAlignment w:val="auto"/>
        <w:rPr>
          <w:rFonts w:ascii="方正小标宋简体" w:hAnsi="方正小标宋简体" w:eastAsia="方正小标宋简体"/>
          <w:bCs/>
          <w:color w:val="000000"/>
          <w:sz w:val="44"/>
          <w:szCs w:val="44"/>
        </w:rPr>
      </w:pPr>
      <w:r>
        <w:rPr>
          <w:rFonts w:hint="eastAsia" w:ascii="方正小标宋简体" w:hAnsi="方正小标宋简体" w:eastAsia="方正小标宋简体"/>
          <w:bCs/>
          <w:color w:val="000000"/>
          <w:sz w:val="44"/>
          <w:szCs w:val="44"/>
        </w:rPr>
        <w:t>昌江区</w:t>
      </w:r>
      <w:r>
        <w:rPr>
          <w:rFonts w:ascii="方正小标宋简体" w:hAnsi="方正小标宋简体" w:eastAsia="方正小标宋简体"/>
          <w:bCs/>
          <w:color w:val="000000"/>
          <w:sz w:val="44"/>
          <w:szCs w:val="44"/>
        </w:rPr>
        <w:t>“十四五”消防救援事业发展规划</w:t>
      </w:r>
    </w:p>
    <w:p>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jc w:val="both"/>
        <w:textAlignment w:val="auto"/>
        <w:rPr>
          <w:rFonts w:ascii="方正仿宋_GBK" w:eastAsia="方正仿宋_GBK"/>
          <w:color w:val="000000"/>
          <w:kern w:val="2"/>
          <w:sz w:val="32"/>
          <w:szCs w:val="32"/>
        </w:rPr>
      </w:pPr>
    </w:p>
    <w:p>
      <w:pPr>
        <w:spacing w:after="0" w:line="600" w:lineRule="exact"/>
        <w:ind w:firstLine="640" w:firstLineChars="200"/>
        <w:jc w:val="both"/>
        <w:rPr>
          <w:rFonts w:hint="eastAsia" w:ascii="仿宋" w:hAnsi="仿宋" w:eastAsia="仿宋" w:cs="仿宋"/>
          <w:color w:val="000000"/>
          <w:kern w:val="2"/>
          <w:sz w:val="32"/>
          <w:szCs w:val="32"/>
        </w:rPr>
      </w:pPr>
      <w:r>
        <w:rPr>
          <w:rFonts w:hint="eastAsia" w:ascii="仿宋" w:hAnsi="仿宋" w:eastAsia="仿宋" w:cs="仿宋"/>
          <w:color w:val="000000"/>
          <w:kern w:val="2"/>
          <w:sz w:val="32"/>
          <w:szCs w:val="32"/>
        </w:rPr>
        <w:t>“十四五”时期是我国“两个一百年”奋斗目标承前启后的历史交汇期，更是消防救援队伍改革转隶后快速发展的重要时期。编制昌江区“十四五”消防救援事业发展规划，是贯彻落实党中央、国务院关于加强消防工作的系列决策部署和习近平总书记关于应急管理、安全生产的系列重要论述精神，加快推进消防救援事业与昌江区经济社会协调发展，不断提高防范化解重大安全风险、应对处置各类灾害事故能力的重要举措。</w:t>
      </w:r>
    </w:p>
    <w:p>
      <w:pPr>
        <w:spacing w:after="0" w:line="600" w:lineRule="exact"/>
        <w:ind w:firstLine="640" w:firstLineChars="200"/>
        <w:jc w:val="both"/>
        <w:rPr>
          <w:rFonts w:hint="eastAsia" w:ascii="仿宋" w:hAnsi="仿宋" w:eastAsia="仿宋" w:cs="仿宋"/>
          <w:color w:val="000000"/>
          <w:kern w:val="2"/>
          <w:sz w:val="32"/>
          <w:szCs w:val="32"/>
        </w:rPr>
      </w:pPr>
      <w:r>
        <w:rPr>
          <w:rFonts w:hint="eastAsia" w:ascii="仿宋" w:hAnsi="仿宋" w:eastAsia="仿宋" w:cs="仿宋"/>
          <w:color w:val="000000"/>
          <w:kern w:val="2"/>
          <w:sz w:val="32"/>
          <w:szCs w:val="32"/>
        </w:rPr>
        <w:t>《昌江区“十四五”消防救援事业发展规划》是根据《中华人民共和国消防法》《江西省消防条例》《关于组建国家综合性消防救援队伍框架方案》《关于深化消防执法改革的意见》《昌江区国民经济和社会发展第十四个五年规划纲要》等法律法规和政策文件，制定本规划。</w:t>
      </w:r>
    </w:p>
    <w:p>
      <w:pPr>
        <w:spacing w:after="0" w:line="600" w:lineRule="exact"/>
        <w:ind w:firstLine="640" w:firstLineChars="200"/>
        <w:jc w:val="both"/>
        <w:rPr>
          <w:rFonts w:hint="eastAsia" w:ascii="黑体" w:hAnsi="黑体" w:eastAsia="黑体" w:cs="黑体"/>
          <w:color w:val="000000"/>
          <w:kern w:val="2"/>
          <w:sz w:val="32"/>
          <w:szCs w:val="32"/>
        </w:rPr>
      </w:pPr>
      <w:r>
        <w:rPr>
          <w:rFonts w:hint="eastAsia" w:ascii="黑体" w:hAnsi="黑体" w:eastAsia="黑体" w:cs="黑体"/>
          <w:color w:val="000000"/>
          <w:kern w:val="2"/>
          <w:sz w:val="32"/>
          <w:szCs w:val="32"/>
        </w:rPr>
        <w:t>一、发展基础</w:t>
      </w:r>
    </w:p>
    <w:p>
      <w:pPr>
        <w:spacing w:after="0" w:line="600" w:lineRule="exact"/>
        <w:ind w:firstLine="643" w:firstLineChars="200"/>
        <w:jc w:val="both"/>
        <w:rPr>
          <w:rFonts w:hint="eastAsia" w:ascii="楷体" w:hAnsi="楷体" w:eastAsia="楷体" w:cs="楷体"/>
          <w:b/>
          <w:color w:val="000000"/>
          <w:kern w:val="2"/>
          <w:sz w:val="32"/>
          <w:szCs w:val="32"/>
        </w:rPr>
      </w:pPr>
      <w:r>
        <w:rPr>
          <w:rFonts w:hint="eastAsia" w:ascii="楷体" w:hAnsi="楷体" w:eastAsia="楷体" w:cs="楷体"/>
          <w:b/>
          <w:color w:val="000000"/>
          <w:kern w:val="2"/>
          <w:sz w:val="32"/>
          <w:szCs w:val="32"/>
        </w:rPr>
        <w:t>（一）十三五时期工作成效</w:t>
      </w:r>
    </w:p>
    <w:p>
      <w:pPr>
        <w:widowControl w:val="0"/>
        <w:spacing w:after="0" w:line="600" w:lineRule="exact"/>
        <w:ind w:firstLine="640" w:firstLineChars="200"/>
        <w:jc w:val="both"/>
        <w:rPr>
          <w:rFonts w:hint="eastAsia" w:ascii="仿宋" w:hAnsi="仿宋" w:eastAsia="仿宋" w:cs="仿宋"/>
          <w:color w:val="000000"/>
          <w:kern w:val="2"/>
          <w:sz w:val="32"/>
          <w:szCs w:val="32"/>
        </w:rPr>
      </w:pPr>
      <w:r>
        <w:rPr>
          <w:rFonts w:hint="eastAsia" w:ascii="仿宋" w:hAnsi="仿宋" w:eastAsia="仿宋" w:cs="仿宋"/>
          <w:color w:val="000000"/>
          <w:kern w:val="2"/>
          <w:sz w:val="32"/>
          <w:szCs w:val="32"/>
        </w:rPr>
        <w:t>“十三五”时期，全区坚持政府统一领导、部门依法监管、单位全面负责、公民积极参与的原则，扎实推进消防工作社会化、法治化、规范化，努力打造消防安全责任链，消防救援事业得到长足发展，为保障社会安定，维护火灾稳定，促进经济社会发展奠定了坚实基础。</w:t>
      </w:r>
    </w:p>
    <w:p>
      <w:pPr>
        <w:widowControl w:val="0"/>
        <w:spacing w:after="0" w:line="600" w:lineRule="exact"/>
        <w:ind w:firstLine="643" w:firstLineChars="200"/>
        <w:jc w:val="both"/>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b/>
          <w:bCs/>
          <w:color w:val="000000" w:themeColor="text1"/>
          <w:kern w:val="2"/>
          <w:sz w:val="32"/>
          <w:szCs w:val="32"/>
          <w14:textFill>
            <w14:solidFill>
              <w14:schemeClr w14:val="tx1"/>
            </w14:solidFill>
          </w14:textFill>
        </w:rPr>
        <w:t>一是消防安全环境相对平稳。</w:t>
      </w:r>
      <w:r>
        <w:rPr>
          <w:rFonts w:hint="eastAsia" w:ascii="仿宋" w:hAnsi="仿宋" w:eastAsia="仿宋" w:cs="仿宋"/>
          <w:color w:val="000000" w:themeColor="text1"/>
          <w:kern w:val="2"/>
          <w:sz w:val="32"/>
          <w:szCs w:val="32"/>
          <w14:textFill>
            <w14:solidFill>
              <w14:schemeClr w14:val="tx1"/>
            </w14:solidFill>
          </w14:textFill>
        </w:rPr>
        <w:t>“十三五”期间，全区消防救援队伍共接警出动2240起，出动消防车3778辆次、指战员25906人次，营救被困人员2401人，疏散群众9296人，抢救财产价值22753.10万元，打赢了2016年“3.31”大众包装仓库厂房火灾，2017年“6.24”抗洪抢险，2018年“4.23”里村前街事火灾、2019年“5.3”富祥药业危化品仓库火灾、2020年“7.6”黑猫集团火灾等大仗险仗，赢得了广泛赞誉。</w:t>
      </w:r>
    </w:p>
    <w:tbl>
      <w:tblPr>
        <w:tblStyle w:val="10"/>
        <w:tblW w:w="87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9"/>
        <w:gridCol w:w="1218"/>
        <w:gridCol w:w="1176"/>
        <w:gridCol w:w="1176"/>
        <w:gridCol w:w="2110"/>
        <w:gridCol w:w="1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8752" w:type="dxa"/>
            <w:gridSpan w:val="6"/>
            <w:vAlign w:val="center"/>
          </w:tcPr>
          <w:p>
            <w:pPr>
              <w:widowControl w:val="0"/>
              <w:adjustRightInd/>
              <w:snapToGrid/>
              <w:spacing w:after="0" w:line="600" w:lineRule="exact"/>
              <w:jc w:val="center"/>
              <w:rPr>
                <w:rFonts w:hint="eastAsia" w:ascii="仿宋" w:hAnsi="仿宋" w:eastAsia="仿宋" w:cs="仿宋"/>
                <w:b/>
                <w:bCs/>
                <w:sz w:val="32"/>
                <w:szCs w:val="32"/>
              </w:rPr>
            </w:pPr>
            <w:r>
              <w:rPr>
                <w:rFonts w:hint="eastAsia" w:ascii="仿宋" w:hAnsi="仿宋" w:eastAsia="仿宋" w:cs="仿宋"/>
                <w:b/>
                <w:bCs/>
                <w:sz w:val="32"/>
                <w:szCs w:val="32"/>
              </w:rPr>
              <w:t>“十三五”期间全区火灾基本情况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jc w:val="center"/>
        </w:trPr>
        <w:tc>
          <w:tcPr>
            <w:tcW w:w="1249" w:type="dxa"/>
            <w:vAlign w:val="center"/>
          </w:tcPr>
          <w:p>
            <w:pPr>
              <w:widowControl w:val="0"/>
              <w:adjustRightInd/>
              <w:snapToGrid/>
              <w:spacing w:after="0" w:line="600" w:lineRule="exact"/>
              <w:jc w:val="center"/>
              <w:rPr>
                <w:rFonts w:hint="eastAsia" w:ascii="仿宋" w:hAnsi="仿宋" w:eastAsia="仿宋" w:cs="仿宋"/>
                <w:kern w:val="2"/>
                <w:sz w:val="32"/>
                <w:szCs w:val="32"/>
              </w:rPr>
            </w:pPr>
            <w:r>
              <w:rPr>
                <w:rFonts w:hint="eastAsia" w:ascii="仿宋" w:hAnsi="仿宋" w:eastAsia="仿宋" w:cs="仿宋"/>
                <w:kern w:val="2"/>
                <w:sz w:val="32"/>
                <w:szCs w:val="32"/>
              </w:rPr>
              <w:t>年份</w:t>
            </w:r>
          </w:p>
        </w:tc>
        <w:tc>
          <w:tcPr>
            <w:tcW w:w="1218" w:type="dxa"/>
            <w:vAlign w:val="center"/>
          </w:tcPr>
          <w:p>
            <w:pPr>
              <w:widowControl w:val="0"/>
              <w:adjustRightInd/>
              <w:snapToGrid/>
              <w:spacing w:after="0" w:line="600" w:lineRule="exact"/>
              <w:jc w:val="center"/>
              <w:rPr>
                <w:rFonts w:hint="eastAsia" w:ascii="仿宋" w:hAnsi="仿宋" w:eastAsia="仿宋" w:cs="仿宋"/>
                <w:kern w:val="2"/>
                <w:sz w:val="32"/>
                <w:szCs w:val="32"/>
              </w:rPr>
            </w:pPr>
            <w:r>
              <w:rPr>
                <w:rFonts w:hint="eastAsia" w:ascii="仿宋" w:hAnsi="仿宋" w:eastAsia="仿宋" w:cs="仿宋"/>
                <w:kern w:val="2"/>
                <w:sz w:val="32"/>
                <w:szCs w:val="32"/>
              </w:rPr>
              <w:t>起数</w:t>
            </w:r>
          </w:p>
        </w:tc>
        <w:tc>
          <w:tcPr>
            <w:tcW w:w="1176" w:type="dxa"/>
            <w:vAlign w:val="center"/>
          </w:tcPr>
          <w:p>
            <w:pPr>
              <w:widowControl w:val="0"/>
              <w:adjustRightInd/>
              <w:snapToGrid/>
              <w:spacing w:after="0" w:line="600" w:lineRule="exact"/>
              <w:jc w:val="center"/>
              <w:rPr>
                <w:rFonts w:hint="eastAsia" w:ascii="仿宋" w:hAnsi="仿宋" w:eastAsia="仿宋" w:cs="仿宋"/>
                <w:kern w:val="2"/>
                <w:sz w:val="32"/>
                <w:szCs w:val="32"/>
              </w:rPr>
            </w:pPr>
            <w:r>
              <w:rPr>
                <w:rFonts w:hint="eastAsia" w:ascii="仿宋" w:hAnsi="仿宋" w:eastAsia="仿宋" w:cs="仿宋"/>
                <w:kern w:val="2"/>
                <w:sz w:val="32"/>
                <w:szCs w:val="32"/>
              </w:rPr>
              <w:t>亡人</w:t>
            </w:r>
          </w:p>
        </w:tc>
        <w:tc>
          <w:tcPr>
            <w:tcW w:w="1176" w:type="dxa"/>
            <w:vAlign w:val="center"/>
          </w:tcPr>
          <w:p>
            <w:pPr>
              <w:widowControl w:val="0"/>
              <w:adjustRightInd/>
              <w:snapToGrid/>
              <w:spacing w:after="0" w:line="600" w:lineRule="exact"/>
              <w:jc w:val="center"/>
              <w:rPr>
                <w:rFonts w:hint="eastAsia" w:ascii="仿宋" w:hAnsi="仿宋" w:eastAsia="仿宋" w:cs="仿宋"/>
                <w:kern w:val="2"/>
                <w:sz w:val="32"/>
                <w:szCs w:val="32"/>
              </w:rPr>
            </w:pPr>
            <w:r>
              <w:rPr>
                <w:rFonts w:hint="eastAsia" w:ascii="仿宋" w:hAnsi="仿宋" w:eastAsia="仿宋" w:cs="仿宋"/>
                <w:kern w:val="2"/>
                <w:sz w:val="32"/>
                <w:szCs w:val="32"/>
              </w:rPr>
              <w:t>伤人</w:t>
            </w:r>
          </w:p>
        </w:tc>
        <w:tc>
          <w:tcPr>
            <w:tcW w:w="2110" w:type="dxa"/>
            <w:vAlign w:val="center"/>
          </w:tcPr>
          <w:p>
            <w:pPr>
              <w:widowControl w:val="0"/>
              <w:adjustRightInd/>
              <w:snapToGrid/>
              <w:spacing w:after="0" w:line="600" w:lineRule="exact"/>
              <w:jc w:val="center"/>
              <w:rPr>
                <w:rFonts w:hint="eastAsia" w:ascii="仿宋" w:hAnsi="仿宋" w:eastAsia="仿宋" w:cs="仿宋"/>
                <w:kern w:val="2"/>
                <w:sz w:val="32"/>
                <w:szCs w:val="32"/>
              </w:rPr>
            </w:pPr>
            <w:r>
              <w:rPr>
                <w:rFonts w:hint="eastAsia" w:ascii="仿宋" w:hAnsi="仿宋" w:eastAsia="仿宋" w:cs="仿宋"/>
                <w:kern w:val="2"/>
                <w:sz w:val="32"/>
                <w:szCs w:val="32"/>
              </w:rPr>
              <w:t>直接财产损失（万元）</w:t>
            </w:r>
          </w:p>
        </w:tc>
        <w:tc>
          <w:tcPr>
            <w:tcW w:w="1823" w:type="dxa"/>
            <w:vAlign w:val="center"/>
          </w:tcPr>
          <w:p>
            <w:pPr>
              <w:widowControl w:val="0"/>
              <w:adjustRightInd/>
              <w:snapToGrid/>
              <w:spacing w:after="0" w:line="600" w:lineRule="exact"/>
              <w:jc w:val="center"/>
              <w:rPr>
                <w:rFonts w:hint="eastAsia" w:ascii="仿宋" w:hAnsi="仿宋" w:eastAsia="仿宋" w:cs="仿宋"/>
                <w:kern w:val="2"/>
                <w:sz w:val="32"/>
                <w:szCs w:val="32"/>
              </w:rPr>
            </w:pPr>
            <w:r>
              <w:rPr>
                <w:rFonts w:hint="eastAsia" w:ascii="仿宋" w:hAnsi="仿宋" w:eastAsia="仿宋" w:cs="仿宋"/>
                <w:kern w:val="2"/>
                <w:sz w:val="32"/>
                <w:szCs w:val="32"/>
              </w:rPr>
              <w:t>抢救财产价值（万元）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249" w:type="dxa"/>
            <w:vAlign w:val="center"/>
          </w:tcPr>
          <w:p>
            <w:pPr>
              <w:widowControl w:val="0"/>
              <w:adjustRightInd/>
              <w:snapToGrid/>
              <w:spacing w:after="0" w:line="600" w:lineRule="exact"/>
              <w:jc w:val="center"/>
              <w:rPr>
                <w:rFonts w:hint="eastAsia" w:ascii="仿宋" w:hAnsi="仿宋" w:eastAsia="仿宋" w:cs="仿宋"/>
                <w:kern w:val="2"/>
                <w:sz w:val="32"/>
                <w:szCs w:val="32"/>
              </w:rPr>
            </w:pPr>
            <w:r>
              <w:rPr>
                <w:rFonts w:hint="eastAsia" w:ascii="仿宋" w:hAnsi="仿宋" w:eastAsia="仿宋" w:cs="仿宋"/>
                <w:kern w:val="2"/>
                <w:sz w:val="32"/>
                <w:szCs w:val="32"/>
              </w:rPr>
              <w:t>2016</w:t>
            </w:r>
          </w:p>
        </w:tc>
        <w:tc>
          <w:tcPr>
            <w:tcW w:w="1218" w:type="dxa"/>
            <w:vAlign w:val="center"/>
          </w:tcPr>
          <w:p>
            <w:pPr>
              <w:widowControl w:val="0"/>
              <w:adjustRightInd/>
              <w:snapToGrid/>
              <w:spacing w:after="0" w:line="600" w:lineRule="exact"/>
              <w:jc w:val="center"/>
              <w:rPr>
                <w:rFonts w:hint="eastAsia" w:ascii="仿宋" w:hAnsi="仿宋" w:eastAsia="仿宋" w:cs="仿宋"/>
                <w:kern w:val="2"/>
                <w:sz w:val="32"/>
                <w:szCs w:val="32"/>
              </w:rPr>
            </w:pPr>
            <w:r>
              <w:rPr>
                <w:rFonts w:hint="eastAsia" w:ascii="仿宋" w:hAnsi="仿宋" w:eastAsia="仿宋" w:cs="仿宋"/>
                <w:kern w:val="2"/>
                <w:sz w:val="32"/>
                <w:szCs w:val="32"/>
              </w:rPr>
              <w:t>34</w:t>
            </w:r>
          </w:p>
        </w:tc>
        <w:tc>
          <w:tcPr>
            <w:tcW w:w="1176" w:type="dxa"/>
            <w:vAlign w:val="center"/>
          </w:tcPr>
          <w:p>
            <w:pPr>
              <w:widowControl w:val="0"/>
              <w:adjustRightInd/>
              <w:snapToGrid/>
              <w:spacing w:after="0" w:line="600" w:lineRule="exact"/>
              <w:jc w:val="center"/>
              <w:rPr>
                <w:rFonts w:hint="eastAsia" w:ascii="仿宋" w:hAnsi="仿宋" w:eastAsia="仿宋" w:cs="仿宋"/>
                <w:kern w:val="2"/>
                <w:sz w:val="32"/>
                <w:szCs w:val="32"/>
              </w:rPr>
            </w:pPr>
            <w:r>
              <w:rPr>
                <w:rFonts w:hint="eastAsia" w:ascii="仿宋" w:hAnsi="仿宋" w:eastAsia="仿宋" w:cs="仿宋"/>
                <w:kern w:val="2"/>
                <w:sz w:val="32"/>
                <w:szCs w:val="32"/>
              </w:rPr>
              <w:t>0</w:t>
            </w:r>
          </w:p>
        </w:tc>
        <w:tc>
          <w:tcPr>
            <w:tcW w:w="1176" w:type="dxa"/>
            <w:vAlign w:val="center"/>
          </w:tcPr>
          <w:p>
            <w:pPr>
              <w:widowControl w:val="0"/>
              <w:adjustRightInd/>
              <w:snapToGrid/>
              <w:spacing w:after="0" w:line="600" w:lineRule="exact"/>
              <w:jc w:val="center"/>
              <w:rPr>
                <w:rFonts w:hint="eastAsia" w:ascii="仿宋" w:hAnsi="仿宋" w:eastAsia="仿宋" w:cs="仿宋"/>
                <w:kern w:val="2"/>
                <w:sz w:val="32"/>
                <w:szCs w:val="32"/>
              </w:rPr>
            </w:pPr>
            <w:r>
              <w:rPr>
                <w:rFonts w:hint="eastAsia" w:ascii="仿宋" w:hAnsi="仿宋" w:eastAsia="仿宋" w:cs="仿宋"/>
                <w:kern w:val="2"/>
                <w:sz w:val="32"/>
                <w:szCs w:val="32"/>
              </w:rPr>
              <w:t>0</w:t>
            </w:r>
          </w:p>
        </w:tc>
        <w:tc>
          <w:tcPr>
            <w:tcW w:w="2110" w:type="dxa"/>
            <w:vAlign w:val="center"/>
          </w:tcPr>
          <w:p>
            <w:pPr>
              <w:widowControl w:val="0"/>
              <w:adjustRightInd/>
              <w:snapToGrid/>
              <w:spacing w:after="0" w:line="600" w:lineRule="exact"/>
              <w:jc w:val="center"/>
              <w:rPr>
                <w:rFonts w:hint="eastAsia" w:ascii="仿宋" w:hAnsi="仿宋" w:eastAsia="仿宋" w:cs="仿宋"/>
                <w:kern w:val="2"/>
                <w:sz w:val="32"/>
                <w:szCs w:val="32"/>
              </w:rPr>
            </w:pPr>
            <w:r>
              <w:rPr>
                <w:rFonts w:hint="eastAsia" w:ascii="仿宋" w:hAnsi="仿宋" w:eastAsia="仿宋" w:cs="仿宋"/>
                <w:kern w:val="2"/>
                <w:sz w:val="32"/>
                <w:szCs w:val="32"/>
              </w:rPr>
              <w:t>57.35</w:t>
            </w:r>
          </w:p>
        </w:tc>
        <w:tc>
          <w:tcPr>
            <w:tcW w:w="1823" w:type="dxa"/>
            <w:vAlign w:val="center"/>
          </w:tcPr>
          <w:p>
            <w:pPr>
              <w:widowControl w:val="0"/>
              <w:adjustRightInd/>
              <w:snapToGrid/>
              <w:spacing w:after="0" w:line="600" w:lineRule="exact"/>
              <w:jc w:val="center"/>
              <w:rPr>
                <w:rFonts w:hint="eastAsia" w:ascii="仿宋" w:hAnsi="仿宋" w:eastAsia="仿宋" w:cs="仿宋"/>
                <w:kern w:val="2"/>
                <w:sz w:val="32"/>
                <w:szCs w:val="32"/>
              </w:rPr>
            </w:pPr>
            <w:r>
              <w:rPr>
                <w:rFonts w:hint="eastAsia" w:ascii="仿宋" w:hAnsi="仿宋" w:eastAsia="仿宋" w:cs="仿宋"/>
                <w:kern w:val="2"/>
                <w:sz w:val="32"/>
                <w:szCs w:val="32"/>
              </w:rPr>
              <w:t>545.7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249" w:type="dxa"/>
            <w:vAlign w:val="center"/>
          </w:tcPr>
          <w:p>
            <w:pPr>
              <w:widowControl w:val="0"/>
              <w:adjustRightInd/>
              <w:snapToGrid/>
              <w:spacing w:after="0" w:line="600" w:lineRule="exact"/>
              <w:jc w:val="center"/>
              <w:rPr>
                <w:rFonts w:hint="eastAsia" w:ascii="仿宋" w:hAnsi="仿宋" w:eastAsia="仿宋" w:cs="仿宋"/>
                <w:kern w:val="2"/>
                <w:sz w:val="32"/>
                <w:szCs w:val="32"/>
              </w:rPr>
            </w:pPr>
            <w:r>
              <w:rPr>
                <w:rFonts w:hint="eastAsia" w:ascii="仿宋" w:hAnsi="仿宋" w:eastAsia="仿宋" w:cs="仿宋"/>
                <w:kern w:val="2"/>
                <w:sz w:val="32"/>
                <w:szCs w:val="32"/>
              </w:rPr>
              <w:t>2017</w:t>
            </w:r>
          </w:p>
        </w:tc>
        <w:tc>
          <w:tcPr>
            <w:tcW w:w="1218" w:type="dxa"/>
            <w:vAlign w:val="center"/>
          </w:tcPr>
          <w:p>
            <w:pPr>
              <w:widowControl w:val="0"/>
              <w:adjustRightInd/>
              <w:snapToGrid/>
              <w:spacing w:after="0" w:line="600" w:lineRule="exact"/>
              <w:jc w:val="center"/>
              <w:rPr>
                <w:rFonts w:hint="eastAsia" w:ascii="仿宋" w:hAnsi="仿宋" w:eastAsia="仿宋" w:cs="仿宋"/>
                <w:kern w:val="2"/>
                <w:sz w:val="32"/>
                <w:szCs w:val="32"/>
              </w:rPr>
            </w:pPr>
            <w:r>
              <w:rPr>
                <w:rFonts w:hint="eastAsia" w:ascii="仿宋" w:hAnsi="仿宋" w:eastAsia="仿宋" w:cs="仿宋"/>
                <w:kern w:val="2"/>
                <w:sz w:val="32"/>
                <w:szCs w:val="32"/>
              </w:rPr>
              <w:t>57</w:t>
            </w:r>
          </w:p>
        </w:tc>
        <w:tc>
          <w:tcPr>
            <w:tcW w:w="1176" w:type="dxa"/>
            <w:vAlign w:val="center"/>
          </w:tcPr>
          <w:p>
            <w:pPr>
              <w:widowControl w:val="0"/>
              <w:adjustRightInd/>
              <w:snapToGrid/>
              <w:spacing w:after="0" w:line="600" w:lineRule="exact"/>
              <w:jc w:val="center"/>
              <w:rPr>
                <w:rFonts w:hint="eastAsia" w:ascii="仿宋" w:hAnsi="仿宋" w:eastAsia="仿宋" w:cs="仿宋"/>
                <w:kern w:val="2"/>
                <w:sz w:val="32"/>
                <w:szCs w:val="32"/>
              </w:rPr>
            </w:pPr>
            <w:r>
              <w:rPr>
                <w:rFonts w:hint="eastAsia" w:ascii="仿宋" w:hAnsi="仿宋" w:eastAsia="仿宋" w:cs="仿宋"/>
                <w:kern w:val="2"/>
                <w:sz w:val="32"/>
                <w:szCs w:val="32"/>
              </w:rPr>
              <w:t>0</w:t>
            </w:r>
          </w:p>
        </w:tc>
        <w:tc>
          <w:tcPr>
            <w:tcW w:w="1176" w:type="dxa"/>
            <w:vAlign w:val="center"/>
          </w:tcPr>
          <w:p>
            <w:pPr>
              <w:widowControl w:val="0"/>
              <w:adjustRightInd/>
              <w:snapToGrid/>
              <w:spacing w:after="0" w:line="600" w:lineRule="exact"/>
              <w:jc w:val="center"/>
              <w:rPr>
                <w:rFonts w:hint="eastAsia" w:ascii="仿宋" w:hAnsi="仿宋" w:eastAsia="仿宋" w:cs="仿宋"/>
                <w:kern w:val="2"/>
                <w:sz w:val="32"/>
                <w:szCs w:val="32"/>
              </w:rPr>
            </w:pPr>
            <w:r>
              <w:rPr>
                <w:rFonts w:hint="eastAsia" w:ascii="仿宋" w:hAnsi="仿宋" w:eastAsia="仿宋" w:cs="仿宋"/>
                <w:kern w:val="2"/>
                <w:sz w:val="32"/>
                <w:szCs w:val="32"/>
              </w:rPr>
              <w:t>1</w:t>
            </w:r>
          </w:p>
        </w:tc>
        <w:tc>
          <w:tcPr>
            <w:tcW w:w="2110" w:type="dxa"/>
            <w:vAlign w:val="center"/>
          </w:tcPr>
          <w:p>
            <w:pPr>
              <w:widowControl w:val="0"/>
              <w:adjustRightInd/>
              <w:snapToGrid/>
              <w:spacing w:after="0" w:line="600" w:lineRule="exact"/>
              <w:jc w:val="center"/>
              <w:rPr>
                <w:rFonts w:hint="eastAsia" w:ascii="仿宋" w:hAnsi="仿宋" w:eastAsia="仿宋" w:cs="仿宋"/>
                <w:kern w:val="2"/>
                <w:sz w:val="32"/>
                <w:szCs w:val="32"/>
              </w:rPr>
            </w:pPr>
            <w:r>
              <w:rPr>
                <w:rFonts w:hint="eastAsia" w:ascii="仿宋" w:hAnsi="仿宋" w:eastAsia="仿宋" w:cs="仿宋"/>
                <w:kern w:val="2"/>
                <w:sz w:val="32"/>
                <w:szCs w:val="32"/>
              </w:rPr>
              <w:t>66.51</w:t>
            </w:r>
          </w:p>
        </w:tc>
        <w:tc>
          <w:tcPr>
            <w:tcW w:w="1823" w:type="dxa"/>
            <w:vAlign w:val="center"/>
          </w:tcPr>
          <w:p>
            <w:pPr>
              <w:widowControl w:val="0"/>
              <w:adjustRightInd/>
              <w:snapToGrid/>
              <w:spacing w:after="0" w:line="600" w:lineRule="exact"/>
              <w:jc w:val="center"/>
              <w:rPr>
                <w:rFonts w:hint="eastAsia" w:ascii="仿宋" w:hAnsi="仿宋" w:eastAsia="仿宋" w:cs="仿宋"/>
                <w:kern w:val="2"/>
                <w:sz w:val="32"/>
                <w:szCs w:val="32"/>
              </w:rPr>
            </w:pPr>
            <w:r>
              <w:rPr>
                <w:rFonts w:hint="eastAsia" w:ascii="仿宋" w:hAnsi="仿宋" w:eastAsia="仿宋" w:cs="仿宋"/>
                <w:kern w:val="2"/>
                <w:sz w:val="32"/>
                <w:szCs w:val="32"/>
              </w:rPr>
              <w:t>887.6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249" w:type="dxa"/>
            <w:vAlign w:val="center"/>
          </w:tcPr>
          <w:p>
            <w:pPr>
              <w:widowControl w:val="0"/>
              <w:adjustRightInd/>
              <w:snapToGrid/>
              <w:spacing w:after="0" w:line="600" w:lineRule="exact"/>
              <w:jc w:val="center"/>
              <w:rPr>
                <w:rFonts w:hint="eastAsia" w:ascii="仿宋" w:hAnsi="仿宋" w:eastAsia="仿宋" w:cs="仿宋"/>
                <w:kern w:val="2"/>
                <w:sz w:val="32"/>
                <w:szCs w:val="32"/>
              </w:rPr>
            </w:pPr>
            <w:r>
              <w:rPr>
                <w:rFonts w:hint="eastAsia" w:ascii="仿宋" w:hAnsi="仿宋" w:eastAsia="仿宋" w:cs="仿宋"/>
                <w:kern w:val="2"/>
                <w:sz w:val="32"/>
                <w:szCs w:val="32"/>
              </w:rPr>
              <w:t>2018</w:t>
            </w:r>
          </w:p>
        </w:tc>
        <w:tc>
          <w:tcPr>
            <w:tcW w:w="1218" w:type="dxa"/>
            <w:vAlign w:val="center"/>
          </w:tcPr>
          <w:p>
            <w:pPr>
              <w:widowControl w:val="0"/>
              <w:adjustRightInd/>
              <w:snapToGrid/>
              <w:spacing w:after="0" w:line="600" w:lineRule="exact"/>
              <w:jc w:val="center"/>
              <w:rPr>
                <w:rFonts w:hint="eastAsia" w:ascii="仿宋" w:hAnsi="仿宋" w:eastAsia="仿宋" w:cs="仿宋"/>
                <w:kern w:val="2"/>
                <w:sz w:val="32"/>
                <w:szCs w:val="32"/>
              </w:rPr>
            </w:pPr>
            <w:r>
              <w:rPr>
                <w:rFonts w:hint="eastAsia" w:ascii="仿宋" w:hAnsi="仿宋" w:eastAsia="仿宋" w:cs="仿宋"/>
                <w:kern w:val="2"/>
                <w:sz w:val="32"/>
                <w:szCs w:val="32"/>
              </w:rPr>
              <w:t>78</w:t>
            </w:r>
          </w:p>
        </w:tc>
        <w:tc>
          <w:tcPr>
            <w:tcW w:w="1176" w:type="dxa"/>
            <w:vAlign w:val="center"/>
          </w:tcPr>
          <w:p>
            <w:pPr>
              <w:widowControl w:val="0"/>
              <w:adjustRightInd/>
              <w:snapToGrid/>
              <w:spacing w:after="0" w:line="600" w:lineRule="exact"/>
              <w:jc w:val="center"/>
              <w:rPr>
                <w:rFonts w:hint="eastAsia" w:ascii="仿宋" w:hAnsi="仿宋" w:eastAsia="仿宋" w:cs="仿宋"/>
                <w:kern w:val="2"/>
                <w:sz w:val="32"/>
                <w:szCs w:val="32"/>
              </w:rPr>
            </w:pPr>
            <w:r>
              <w:rPr>
                <w:rFonts w:hint="eastAsia" w:ascii="仿宋" w:hAnsi="仿宋" w:eastAsia="仿宋" w:cs="仿宋"/>
                <w:kern w:val="2"/>
                <w:sz w:val="32"/>
                <w:szCs w:val="32"/>
              </w:rPr>
              <w:t>0</w:t>
            </w:r>
          </w:p>
        </w:tc>
        <w:tc>
          <w:tcPr>
            <w:tcW w:w="1176" w:type="dxa"/>
            <w:vAlign w:val="center"/>
          </w:tcPr>
          <w:p>
            <w:pPr>
              <w:widowControl w:val="0"/>
              <w:adjustRightInd/>
              <w:snapToGrid/>
              <w:spacing w:after="0" w:line="600" w:lineRule="exact"/>
              <w:jc w:val="center"/>
              <w:rPr>
                <w:rFonts w:hint="eastAsia" w:ascii="仿宋" w:hAnsi="仿宋" w:eastAsia="仿宋" w:cs="仿宋"/>
                <w:kern w:val="2"/>
                <w:sz w:val="32"/>
                <w:szCs w:val="32"/>
              </w:rPr>
            </w:pPr>
            <w:r>
              <w:rPr>
                <w:rFonts w:hint="eastAsia" w:ascii="仿宋" w:hAnsi="仿宋" w:eastAsia="仿宋" w:cs="仿宋"/>
                <w:kern w:val="2"/>
                <w:sz w:val="32"/>
                <w:szCs w:val="32"/>
              </w:rPr>
              <w:t>0</w:t>
            </w:r>
          </w:p>
        </w:tc>
        <w:tc>
          <w:tcPr>
            <w:tcW w:w="2110" w:type="dxa"/>
            <w:vAlign w:val="center"/>
          </w:tcPr>
          <w:p>
            <w:pPr>
              <w:widowControl w:val="0"/>
              <w:adjustRightInd/>
              <w:snapToGrid/>
              <w:spacing w:after="0" w:line="600" w:lineRule="exact"/>
              <w:jc w:val="center"/>
              <w:rPr>
                <w:rFonts w:hint="eastAsia" w:ascii="仿宋" w:hAnsi="仿宋" w:eastAsia="仿宋" w:cs="仿宋"/>
                <w:kern w:val="2"/>
                <w:sz w:val="32"/>
                <w:szCs w:val="32"/>
              </w:rPr>
            </w:pPr>
            <w:r>
              <w:rPr>
                <w:rFonts w:hint="eastAsia" w:ascii="仿宋" w:hAnsi="仿宋" w:eastAsia="仿宋" w:cs="仿宋"/>
                <w:kern w:val="2"/>
                <w:sz w:val="32"/>
                <w:szCs w:val="32"/>
              </w:rPr>
              <w:t>134.99</w:t>
            </w:r>
          </w:p>
        </w:tc>
        <w:tc>
          <w:tcPr>
            <w:tcW w:w="1823" w:type="dxa"/>
            <w:vAlign w:val="center"/>
          </w:tcPr>
          <w:p>
            <w:pPr>
              <w:widowControl w:val="0"/>
              <w:adjustRightInd/>
              <w:snapToGrid/>
              <w:spacing w:after="0" w:line="600" w:lineRule="exact"/>
              <w:jc w:val="center"/>
              <w:rPr>
                <w:rFonts w:hint="eastAsia" w:ascii="仿宋" w:hAnsi="仿宋" w:eastAsia="仿宋" w:cs="仿宋"/>
                <w:kern w:val="2"/>
                <w:sz w:val="32"/>
                <w:szCs w:val="32"/>
              </w:rPr>
            </w:pPr>
            <w:r>
              <w:rPr>
                <w:rFonts w:hint="eastAsia" w:ascii="仿宋" w:hAnsi="仿宋" w:eastAsia="仿宋" w:cs="仿宋"/>
                <w:kern w:val="2"/>
                <w:sz w:val="32"/>
                <w:szCs w:val="32"/>
              </w:rPr>
              <w:t>4977.7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249" w:type="dxa"/>
            <w:vAlign w:val="center"/>
          </w:tcPr>
          <w:p>
            <w:pPr>
              <w:widowControl w:val="0"/>
              <w:adjustRightInd/>
              <w:snapToGrid/>
              <w:spacing w:after="0" w:line="600" w:lineRule="exact"/>
              <w:jc w:val="center"/>
              <w:rPr>
                <w:rFonts w:hint="eastAsia" w:ascii="仿宋" w:hAnsi="仿宋" w:eastAsia="仿宋" w:cs="仿宋"/>
                <w:kern w:val="2"/>
                <w:sz w:val="32"/>
                <w:szCs w:val="32"/>
              </w:rPr>
            </w:pPr>
            <w:r>
              <w:rPr>
                <w:rFonts w:hint="eastAsia" w:ascii="仿宋" w:hAnsi="仿宋" w:eastAsia="仿宋" w:cs="仿宋"/>
                <w:kern w:val="2"/>
                <w:sz w:val="32"/>
                <w:szCs w:val="32"/>
              </w:rPr>
              <w:t>2019</w:t>
            </w:r>
          </w:p>
        </w:tc>
        <w:tc>
          <w:tcPr>
            <w:tcW w:w="1218" w:type="dxa"/>
            <w:vAlign w:val="center"/>
          </w:tcPr>
          <w:p>
            <w:pPr>
              <w:widowControl w:val="0"/>
              <w:adjustRightInd/>
              <w:snapToGrid/>
              <w:spacing w:after="0" w:line="600" w:lineRule="exact"/>
              <w:jc w:val="center"/>
              <w:rPr>
                <w:rFonts w:hint="eastAsia" w:ascii="仿宋" w:hAnsi="仿宋" w:eastAsia="仿宋" w:cs="仿宋"/>
                <w:kern w:val="2"/>
                <w:sz w:val="32"/>
                <w:szCs w:val="32"/>
              </w:rPr>
            </w:pPr>
            <w:r>
              <w:rPr>
                <w:rFonts w:hint="eastAsia" w:ascii="仿宋" w:hAnsi="仿宋" w:eastAsia="仿宋" w:cs="仿宋"/>
                <w:kern w:val="2"/>
                <w:sz w:val="32"/>
                <w:szCs w:val="32"/>
              </w:rPr>
              <w:t>86</w:t>
            </w:r>
          </w:p>
        </w:tc>
        <w:tc>
          <w:tcPr>
            <w:tcW w:w="1176" w:type="dxa"/>
            <w:vAlign w:val="center"/>
          </w:tcPr>
          <w:p>
            <w:pPr>
              <w:widowControl w:val="0"/>
              <w:adjustRightInd/>
              <w:snapToGrid/>
              <w:spacing w:after="0" w:line="600" w:lineRule="exact"/>
              <w:jc w:val="center"/>
              <w:rPr>
                <w:rFonts w:hint="eastAsia" w:ascii="仿宋" w:hAnsi="仿宋" w:eastAsia="仿宋" w:cs="仿宋"/>
                <w:kern w:val="2"/>
                <w:sz w:val="32"/>
                <w:szCs w:val="32"/>
              </w:rPr>
            </w:pPr>
            <w:r>
              <w:rPr>
                <w:rFonts w:hint="eastAsia" w:ascii="仿宋" w:hAnsi="仿宋" w:eastAsia="仿宋" w:cs="仿宋"/>
                <w:kern w:val="2"/>
                <w:sz w:val="32"/>
                <w:szCs w:val="32"/>
              </w:rPr>
              <w:t>0</w:t>
            </w:r>
          </w:p>
        </w:tc>
        <w:tc>
          <w:tcPr>
            <w:tcW w:w="1176" w:type="dxa"/>
            <w:vAlign w:val="center"/>
          </w:tcPr>
          <w:p>
            <w:pPr>
              <w:widowControl w:val="0"/>
              <w:adjustRightInd/>
              <w:snapToGrid/>
              <w:spacing w:after="0" w:line="600" w:lineRule="exact"/>
              <w:jc w:val="center"/>
              <w:rPr>
                <w:rFonts w:hint="eastAsia" w:ascii="仿宋" w:hAnsi="仿宋" w:eastAsia="仿宋" w:cs="仿宋"/>
                <w:kern w:val="2"/>
                <w:sz w:val="32"/>
                <w:szCs w:val="32"/>
              </w:rPr>
            </w:pPr>
            <w:r>
              <w:rPr>
                <w:rFonts w:hint="eastAsia" w:ascii="仿宋" w:hAnsi="仿宋" w:eastAsia="仿宋" w:cs="仿宋"/>
                <w:kern w:val="2"/>
                <w:sz w:val="32"/>
                <w:szCs w:val="32"/>
              </w:rPr>
              <w:t>0</w:t>
            </w:r>
          </w:p>
        </w:tc>
        <w:tc>
          <w:tcPr>
            <w:tcW w:w="2110" w:type="dxa"/>
            <w:vAlign w:val="center"/>
          </w:tcPr>
          <w:p>
            <w:pPr>
              <w:widowControl w:val="0"/>
              <w:adjustRightInd/>
              <w:snapToGrid/>
              <w:spacing w:after="0" w:line="600" w:lineRule="exact"/>
              <w:jc w:val="center"/>
              <w:rPr>
                <w:rFonts w:hint="eastAsia" w:ascii="仿宋" w:hAnsi="仿宋" w:eastAsia="仿宋" w:cs="仿宋"/>
                <w:kern w:val="2"/>
                <w:sz w:val="32"/>
                <w:szCs w:val="32"/>
              </w:rPr>
            </w:pPr>
            <w:r>
              <w:rPr>
                <w:rFonts w:hint="eastAsia" w:ascii="仿宋" w:hAnsi="仿宋" w:eastAsia="仿宋" w:cs="仿宋"/>
                <w:kern w:val="2"/>
                <w:sz w:val="32"/>
                <w:szCs w:val="32"/>
              </w:rPr>
              <w:t>129.89</w:t>
            </w:r>
          </w:p>
        </w:tc>
        <w:tc>
          <w:tcPr>
            <w:tcW w:w="1823" w:type="dxa"/>
            <w:vAlign w:val="center"/>
          </w:tcPr>
          <w:p>
            <w:pPr>
              <w:widowControl w:val="0"/>
              <w:adjustRightInd/>
              <w:snapToGrid/>
              <w:spacing w:after="0" w:line="600" w:lineRule="exact"/>
              <w:jc w:val="center"/>
              <w:rPr>
                <w:rFonts w:hint="eastAsia" w:ascii="仿宋" w:hAnsi="仿宋" w:eastAsia="仿宋" w:cs="仿宋"/>
                <w:kern w:val="2"/>
                <w:sz w:val="32"/>
                <w:szCs w:val="32"/>
              </w:rPr>
            </w:pPr>
            <w:r>
              <w:rPr>
                <w:rFonts w:hint="eastAsia" w:ascii="仿宋" w:hAnsi="仿宋" w:eastAsia="仿宋" w:cs="仿宋"/>
                <w:kern w:val="2"/>
                <w:sz w:val="32"/>
                <w:szCs w:val="32"/>
              </w:rPr>
              <w:t>5195.1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249" w:type="dxa"/>
            <w:vAlign w:val="center"/>
          </w:tcPr>
          <w:p>
            <w:pPr>
              <w:widowControl w:val="0"/>
              <w:adjustRightInd/>
              <w:snapToGrid/>
              <w:spacing w:after="0" w:line="600" w:lineRule="exact"/>
              <w:jc w:val="center"/>
              <w:rPr>
                <w:rFonts w:hint="eastAsia" w:ascii="仿宋" w:hAnsi="仿宋" w:eastAsia="仿宋" w:cs="仿宋"/>
                <w:kern w:val="2"/>
                <w:sz w:val="32"/>
                <w:szCs w:val="32"/>
              </w:rPr>
            </w:pPr>
            <w:r>
              <w:rPr>
                <w:rFonts w:hint="eastAsia" w:ascii="仿宋" w:hAnsi="仿宋" w:eastAsia="仿宋" w:cs="仿宋"/>
                <w:kern w:val="2"/>
                <w:sz w:val="32"/>
                <w:szCs w:val="32"/>
              </w:rPr>
              <w:t>2020</w:t>
            </w:r>
          </w:p>
        </w:tc>
        <w:tc>
          <w:tcPr>
            <w:tcW w:w="1218" w:type="dxa"/>
            <w:vAlign w:val="center"/>
          </w:tcPr>
          <w:p>
            <w:pPr>
              <w:widowControl w:val="0"/>
              <w:adjustRightInd/>
              <w:snapToGrid/>
              <w:spacing w:after="0" w:line="600" w:lineRule="exact"/>
              <w:jc w:val="center"/>
              <w:rPr>
                <w:rFonts w:hint="eastAsia" w:ascii="仿宋" w:hAnsi="仿宋" w:eastAsia="仿宋" w:cs="仿宋"/>
                <w:kern w:val="2"/>
                <w:sz w:val="32"/>
                <w:szCs w:val="32"/>
              </w:rPr>
            </w:pPr>
            <w:r>
              <w:rPr>
                <w:rFonts w:hint="eastAsia" w:ascii="仿宋" w:hAnsi="仿宋" w:eastAsia="仿宋" w:cs="仿宋"/>
                <w:kern w:val="2"/>
                <w:sz w:val="32"/>
                <w:szCs w:val="32"/>
              </w:rPr>
              <w:t>119</w:t>
            </w:r>
          </w:p>
        </w:tc>
        <w:tc>
          <w:tcPr>
            <w:tcW w:w="1176" w:type="dxa"/>
            <w:vAlign w:val="center"/>
          </w:tcPr>
          <w:p>
            <w:pPr>
              <w:widowControl w:val="0"/>
              <w:adjustRightInd/>
              <w:snapToGrid/>
              <w:spacing w:after="0" w:line="600" w:lineRule="exact"/>
              <w:jc w:val="center"/>
              <w:rPr>
                <w:rFonts w:hint="eastAsia" w:ascii="仿宋" w:hAnsi="仿宋" w:eastAsia="仿宋" w:cs="仿宋"/>
                <w:kern w:val="2"/>
                <w:sz w:val="32"/>
                <w:szCs w:val="32"/>
              </w:rPr>
            </w:pPr>
            <w:r>
              <w:rPr>
                <w:rFonts w:hint="eastAsia" w:ascii="仿宋" w:hAnsi="仿宋" w:eastAsia="仿宋" w:cs="仿宋"/>
                <w:kern w:val="2"/>
                <w:sz w:val="32"/>
                <w:szCs w:val="32"/>
              </w:rPr>
              <w:t>1</w:t>
            </w:r>
          </w:p>
        </w:tc>
        <w:tc>
          <w:tcPr>
            <w:tcW w:w="1176" w:type="dxa"/>
            <w:vAlign w:val="center"/>
          </w:tcPr>
          <w:p>
            <w:pPr>
              <w:widowControl w:val="0"/>
              <w:adjustRightInd/>
              <w:snapToGrid/>
              <w:spacing w:after="0" w:line="600" w:lineRule="exact"/>
              <w:jc w:val="center"/>
              <w:rPr>
                <w:rFonts w:hint="eastAsia" w:ascii="仿宋" w:hAnsi="仿宋" w:eastAsia="仿宋" w:cs="仿宋"/>
                <w:kern w:val="2"/>
                <w:sz w:val="32"/>
                <w:szCs w:val="32"/>
              </w:rPr>
            </w:pPr>
            <w:r>
              <w:rPr>
                <w:rFonts w:hint="eastAsia" w:ascii="仿宋" w:hAnsi="仿宋" w:eastAsia="仿宋" w:cs="仿宋"/>
                <w:kern w:val="2"/>
                <w:sz w:val="32"/>
                <w:szCs w:val="32"/>
              </w:rPr>
              <w:t>2</w:t>
            </w:r>
          </w:p>
        </w:tc>
        <w:tc>
          <w:tcPr>
            <w:tcW w:w="2110" w:type="dxa"/>
            <w:vAlign w:val="center"/>
          </w:tcPr>
          <w:p>
            <w:pPr>
              <w:widowControl w:val="0"/>
              <w:adjustRightInd/>
              <w:snapToGrid/>
              <w:spacing w:after="0" w:line="600" w:lineRule="exact"/>
              <w:jc w:val="center"/>
              <w:rPr>
                <w:rFonts w:hint="eastAsia" w:ascii="仿宋" w:hAnsi="仿宋" w:eastAsia="仿宋" w:cs="仿宋"/>
                <w:kern w:val="2"/>
                <w:sz w:val="32"/>
                <w:szCs w:val="32"/>
              </w:rPr>
            </w:pPr>
            <w:r>
              <w:rPr>
                <w:rFonts w:hint="eastAsia" w:ascii="仿宋" w:hAnsi="仿宋" w:eastAsia="仿宋" w:cs="仿宋"/>
                <w:kern w:val="2"/>
                <w:sz w:val="32"/>
                <w:szCs w:val="32"/>
              </w:rPr>
              <w:t>282.87</w:t>
            </w:r>
          </w:p>
        </w:tc>
        <w:tc>
          <w:tcPr>
            <w:tcW w:w="1823" w:type="dxa"/>
            <w:vAlign w:val="center"/>
          </w:tcPr>
          <w:p>
            <w:pPr>
              <w:widowControl w:val="0"/>
              <w:adjustRightInd/>
              <w:snapToGrid/>
              <w:spacing w:after="0" w:line="600" w:lineRule="exact"/>
              <w:jc w:val="center"/>
              <w:rPr>
                <w:rFonts w:hint="eastAsia" w:ascii="仿宋" w:hAnsi="仿宋" w:eastAsia="仿宋" w:cs="仿宋"/>
                <w:kern w:val="2"/>
                <w:sz w:val="32"/>
                <w:szCs w:val="32"/>
              </w:rPr>
            </w:pPr>
            <w:r>
              <w:rPr>
                <w:rFonts w:hint="eastAsia" w:ascii="仿宋" w:hAnsi="仿宋" w:eastAsia="仿宋" w:cs="仿宋"/>
                <w:kern w:val="2"/>
                <w:sz w:val="32"/>
                <w:szCs w:val="32"/>
              </w:rPr>
              <w:t>13381.3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249" w:type="dxa"/>
            <w:vAlign w:val="center"/>
          </w:tcPr>
          <w:p>
            <w:pPr>
              <w:widowControl w:val="0"/>
              <w:adjustRightInd/>
              <w:snapToGrid/>
              <w:spacing w:after="0" w:line="600" w:lineRule="exact"/>
              <w:jc w:val="center"/>
              <w:rPr>
                <w:rFonts w:hint="eastAsia" w:ascii="仿宋" w:hAnsi="仿宋" w:eastAsia="仿宋" w:cs="仿宋"/>
                <w:kern w:val="2"/>
                <w:sz w:val="32"/>
                <w:szCs w:val="32"/>
              </w:rPr>
            </w:pPr>
            <w:r>
              <w:rPr>
                <w:rFonts w:hint="eastAsia" w:ascii="仿宋" w:hAnsi="仿宋" w:eastAsia="仿宋" w:cs="仿宋"/>
                <w:kern w:val="2"/>
                <w:sz w:val="32"/>
                <w:szCs w:val="32"/>
              </w:rPr>
              <w:t>合计</w:t>
            </w:r>
          </w:p>
        </w:tc>
        <w:tc>
          <w:tcPr>
            <w:tcW w:w="1218" w:type="dxa"/>
            <w:vAlign w:val="center"/>
          </w:tcPr>
          <w:p>
            <w:pPr>
              <w:widowControl w:val="0"/>
              <w:adjustRightInd/>
              <w:snapToGrid/>
              <w:spacing w:after="0" w:line="600" w:lineRule="exact"/>
              <w:jc w:val="center"/>
              <w:rPr>
                <w:rFonts w:hint="eastAsia" w:ascii="仿宋" w:hAnsi="仿宋" w:eastAsia="仿宋" w:cs="仿宋"/>
                <w:kern w:val="2"/>
                <w:sz w:val="32"/>
                <w:szCs w:val="32"/>
              </w:rPr>
            </w:pPr>
            <w:r>
              <w:rPr>
                <w:rFonts w:hint="eastAsia" w:ascii="仿宋" w:hAnsi="仿宋" w:eastAsia="仿宋" w:cs="仿宋"/>
                <w:kern w:val="2"/>
                <w:sz w:val="32"/>
                <w:szCs w:val="32"/>
              </w:rPr>
              <w:t>375</w:t>
            </w:r>
          </w:p>
        </w:tc>
        <w:tc>
          <w:tcPr>
            <w:tcW w:w="1176" w:type="dxa"/>
            <w:vAlign w:val="center"/>
          </w:tcPr>
          <w:p>
            <w:pPr>
              <w:widowControl w:val="0"/>
              <w:adjustRightInd/>
              <w:snapToGrid/>
              <w:spacing w:after="0" w:line="600" w:lineRule="exact"/>
              <w:jc w:val="center"/>
              <w:rPr>
                <w:rFonts w:hint="eastAsia" w:ascii="仿宋" w:hAnsi="仿宋" w:eastAsia="仿宋" w:cs="仿宋"/>
                <w:kern w:val="2"/>
                <w:sz w:val="32"/>
                <w:szCs w:val="32"/>
              </w:rPr>
            </w:pPr>
            <w:r>
              <w:rPr>
                <w:rFonts w:hint="eastAsia" w:ascii="仿宋" w:hAnsi="仿宋" w:eastAsia="仿宋" w:cs="仿宋"/>
                <w:kern w:val="2"/>
                <w:sz w:val="32"/>
                <w:szCs w:val="32"/>
              </w:rPr>
              <w:t>1</w:t>
            </w:r>
          </w:p>
        </w:tc>
        <w:tc>
          <w:tcPr>
            <w:tcW w:w="1176" w:type="dxa"/>
            <w:vAlign w:val="center"/>
          </w:tcPr>
          <w:p>
            <w:pPr>
              <w:widowControl w:val="0"/>
              <w:adjustRightInd/>
              <w:snapToGrid/>
              <w:spacing w:after="0" w:line="600" w:lineRule="exact"/>
              <w:jc w:val="center"/>
              <w:rPr>
                <w:rFonts w:hint="eastAsia" w:ascii="仿宋" w:hAnsi="仿宋" w:eastAsia="仿宋" w:cs="仿宋"/>
                <w:kern w:val="2"/>
                <w:sz w:val="32"/>
                <w:szCs w:val="32"/>
              </w:rPr>
            </w:pPr>
            <w:r>
              <w:rPr>
                <w:rFonts w:hint="eastAsia" w:ascii="仿宋" w:hAnsi="仿宋" w:eastAsia="仿宋" w:cs="仿宋"/>
                <w:kern w:val="2"/>
                <w:sz w:val="32"/>
                <w:szCs w:val="32"/>
              </w:rPr>
              <w:t>3</w:t>
            </w:r>
          </w:p>
        </w:tc>
        <w:tc>
          <w:tcPr>
            <w:tcW w:w="2110" w:type="dxa"/>
            <w:vAlign w:val="center"/>
          </w:tcPr>
          <w:p>
            <w:pPr>
              <w:widowControl w:val="0"/>
              <w:adjustRightInd/>
              <w:snapToGrid/>
              <w:spacing w:after="0" w:line="600" w:lineRule="exact"/>
              <w:jc w:val="center"/>
              <w:rPr>
                <w:rFonts w:hint="eastAsia" w:ascii="仿宋" w:hAnsi="仿宋" w:eastAsia="仿宋" w:cs="仿宋"/>
                <w:kern w:val="2"/>
                <w:sz w:val="32"/>
                <w:szCs w:val="32"/>
              </w:rPr>
            </w:pPr>
            <w:r>
              <w:rPr>
                <w:rFonts w:hint="eastAsia" w:ascii="仿宋" w:hAnsi="仿宋" w:eastAsia="仿宋" w:cs="仿宋"/>
                <w:kern w:val="2"/>
                <w:sz w:val="32"/>
                <w:szCs w:val="32"/>
              </w:rPr>
              <w:t>671.61</w:t>
            </w:r>
          </w:p>
        </w:tc>
        <w:tc>
          <w:tcPr>
            <w:tcW w:w="1823" w:type="dxa"/>
            <w:vAlign w:val="center"/>
          </w:tcPr>
          <w:p>
            <w:pPr>
              <w:widowControl w:val="0"/>
              <w:adjustRightInd/>
              <w:snapToGrid/>
              <w:spacing w:after="0" w:line="600" w:lineRule="exact"/>
              <w:jc w:val="center"/>
              <w:rPr>
                <w:rFonts w:hint="eastAsia" w:ascii="仿宋" w:hAnsi="仿宋" w:eastAsia="仿宋" w:cs="仿宋"/>
                <w:kern w:val="2"/>
                <w:sz w:val="32"/>
                <w:szCs w:val="32"/>
              </w:rPr>
            </w:pPr>
            <w:r>
              <w:rPr>
                <w:rFonts w:hint="eastAsia" w:ascii="仿宋" w:hAnsi="仿宋" w:eastAsia="仿宋" w:cs="仿宋"/>
                <w:kern w:val="2"/>
                <w:sz w:val="32"/>
                <w:szCs w:val="32"/>
              </w:rPr>
              <w:t>24987.4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752" w:type="dxa"/>
            <w:gridSpan w:val="6"/>
            <w:vAlign w:val="center"/>
          </w:tcPr>
          <w:p>
            <w:pPr>
              <w:widowControl w:val="0"/>
              <w:adjustRightInd/>
              <w:snapToGrid/>
              <w:spacing w:after="0" w:line="600" w:lineRule="exact"/>
              <w:rPr>
                <w:rFonts w:hint="eastAsia" w:ascii="仿宋" w:hAnsi="仿宋" w:eastAsia="仿宋" w:cs="仿宋"/>
                <w:sz w:val="32"/>
                <w:szCs w:val="32"/>
              </w:rPr>
            </w:pPr>
            <w:r>
              <w:rPr>
                <w:rFonts w:hint="eastAsia" w:ascii="仿宋" w:hAnsi="仿宋" w:eastAsia="仿宋" w:cs="仿宋"/>
                <w:kern w:val="2"/>
                <w:sz w:val="32"/>
                <w:szCs w:val="32"/>
              </w:rPr>
              <w:t>备注：数据截止2020年12月31日</w:t>
            </w:r>
          </w:p>
        </w:tc>
      </w:tr>
    </w:tbl>
    <w:p>
      <w:pPr>
        <w:widowControl w:val="0"/>
        <w:spacing w:after="0" w:line="600" w:lineRule="exact"/>
        <w:ind w:firstLine="643" w:firstLineChars="200"/>
        <w:jc w:val="both"/>
        <w:rPr>
          <w:rFonts w:hint="eastAsia" w:ascii="仿宋" w:hAnsi="仿宋" w:eastAsia="仿宋" w:cs="仿宋"/>
          <w:color w:val="000000"/>
          <w:kern w:val="2"/>
          <w:sz w:val="32"/>
          <w:szCs w:val="32"/>
        </w:rPr>
      </w:pPr>
      <w:r>
        <w:rPr>
          <w:rFonts w:hint="eastAsia" w:ascii="仿宋" w:hAnsi="仿宋" w:eastAsia="仿宋" w:cs="仿宋"/>
          <w:b/>
          <w:bCs/>
          <w:color w:val="000000"/>
          <w:kern w:val="2"/>
          <w:sz w:val="32"/>
          <w:szCs w:val="32"/>
        </w:rPr>
        <w:t>二是消防安全法制体系日趋健全。</w:t>
      </w:r>
      <w:r>
        <w:rPr>
          <w:rFonts w:hint="eastAsia" w:ascii="仿宋" w:hAnsi="仿宋" w:eastAsia="仿宋" w:cs="仿宋"/>
          <w:color w:val="000000"/>
          <w:kern w:val="2"/>
          <w:sz w:val="32"/>
          <w:szCs w:val="32"/>
        </w:rPr>
        <w:t>严格执行《消防法》《江西省消防条例》等消防法律法规，严格火灾事故原因调查和责任追查，依法查处火灾隐患举报投诉问题，建设工程消防设计审查验收职责移交住建部门，全面实施消防监督“双随机、一公开”监管模式。严格执行市消防救援支队下发的《关于深化消防简政放权优化服务工作的通知》，施行了开通绿色通道、缩短审批时限、专家集中审批和现场办公等服务举措，服务发展、保障民生水平进一步提升。</w:t>
      </w:r>
    </w:p>
    <w:p>
      <w:pPr>
        <w:widowControl w:val="0"/>
        <w:spacing w:after="0" w:line="600" w:lineRule="exact"/>
        <w:ind w:firstLine="643" w:firstLineChars="200"/>
        <w:jc w:val="both"/>
        <w:rPr>
          <w:rFonts w:hint="eastAsia" w:ascii="仿宋" w:hAnsi="仿宋" w:eastAsia="仿宋" w:cs="仿宋"/>
          <w:color w:val="000000"/>
          <w:kern w:val="2"/>
          <w:sz w:val="32"/>
          <w:szCs w:val="32"/>
        </w:rPr>
      </w:pPr>
      <w:r>
        <w:rPr>
          <w:rFonts w:hint="eastAsia" w:ascii="仿宋" w:hAnsi="仿宋" w:eastAsia="仿宋" w:cs="仿宋"/>
          <w:b/>
          <w:bCs/>
          <w:color w:val="000000"/>
          <w:kern w:val="2"/>
          <w:sz w:val="32"/>
          <w:szCs w:val="32"/>
        </w:rPr>
        <w:t>三是消防安全治理体系稳步提升。</w:t>
      </w:r>
      <w:r>
        <w:rPr>
          <w:rFonts w:hint="eastAsia" w:ascii="仿宋" w:hAnsi="仿宋" w:eastAsia="仿宋" w:cs="仿宋"/>
          <w:color w:val="000000"/>
          <w:kern w:val="2"/>
          <w:sz w:val="32"/>
          <w:szCs w:val="32"/>
        </w:rPr>
        <w:t>聚焦防范化解重大安全风险，紧盯重点对象、高危领域、重大问题，全面推进隐患大治理，有力提升防范化解重大安全风险的能力水平。全区大力开展危险化学品和易燃易爆物品场所、仓储物流企业、市场和小作坊、电影院、公共娱乐场所、高层、电气火灾防范、汗蒸洗浴足疗类场所、旅游市场治安秩序、校园及周边、成品油市场、网吧、游戏游艺场所、文物古建筑、大型商业综合体、人员密集场所等行业领域消防安全专项整治。十三五期间，区消防救援大队共检查单位10292余家，发现火患11343余处，督促整改火患11136余处，责令“三停”单位127家，罚款1255400余元，拘留27人。</w:t>
      </w:r>
    </w:p>
    <w:p>
      <w:pPr>
        <w:widowControl w:val="0"/>
        <w:spacing w:after="0" w:line="600" w:lineRule="exact"/>
        <w:ind w:firstLine="643" w:firstLineChars="200"/>
        <w:jc w:val="both"/>
        <w:rPr>
          <w:rFonts w:hint="eastAsia" w:ascii="仿宋" w:hAnsi="仿宋" w:eastAsia="仿宋" w:cs="仿宋"/>
          <w:color w:val="000000"/>
          <w:kern w:val="2"/>
          <w:sz w:val="32"/>
          <w:szCs w:val="32"/>
        </w:rPr>
      </w:pPr>
      <w:r>
        <w:rPr>
          <w:rFonts w:hint="eastAsia" w:ascii="仿宋" w:hAnsi="仿宋" w:eastAsia="仿宋" w:cs="仿宋"/>
          <w:b/>
          <w:bCs/>
          <w:color w:val="000000"/>
          <w:kern w:val="2"/>
          <w:sz w:val="32"/>
          <w:szCs w:val="32"/>
        </w:rPr>
        <w:t>四是公民消防安全意识逐渐提高。</w:t>
      </w:r>
      <w:r>
        <w:rPr>
          <w:rFonts w:hint="eastAsia" w:ascii="仿宋" w:hAnsi="仿宋" w:eastAsia="仿宋" w:cs="仿宋"/>
          <w:color w:val="000000"/>
          <w:kern w:val="2"/>
          <w:sz w:val="32"/>
          <w:szCs w:val="32"/>
        </w:rPr>
        <w:t>消防宣传教育纳入全民科学素质行动计划，大力开展“防灾减灾日”“安全生产月”“119消防宣传月”等活动，扎实推进开展消防宣传“五进”活动、“一警六员”消防基本技能实操实训工作，着力促进消防志愿服务活动提质增效，社会化公益化多样化消防宣传教育格局更趋成熟。十三五期间，组织消防宣传活动800余场次，向手机用户发送60万条消防安全提示短信，依托消防宣传车、消防救援站接待培训参观群众1.1万人次，发放各类宣传资料、物品4万余份，“一警六员”消防安全基本技能培训考核累计培训人员1.09万人次。</w:t>
      </w:r>
    </w:p>
    <w:p>
      <w:pPr>
        <w:widowControl w:val="0"/>
        <w:spacing w:after="0" w:line="600" w:lineRule="exact"/>
        <w:ind w:firstLine="643" w:firstLineChars="200"/>
        <w:jc w:val="both"/>
        <w:rPr>
          <w:rFonts w:hint="eastAsia" w:ascii="仿宋" w:hAnsi="仿宋" w:eastAsia="仿宋" w:cs="仿宋"/>
          <w:color w:val="000000"/>
          <w:kern w:val="2"/>
          <w:sz w:val="32"/>
          <w:szCs w:val="32"/>
        </w:rPr>
      </w:pPr>
      <w:r>
        <w:rPr>
          <w:rFonts w:hint="eastAsia" w:ascii="仿宋" w:hAnsi="仿宋" w:eastAsia="仿宋" w:cs="仿宋"/>
          <w:b/>
          <w:bCs/>
          <w:color w:val="000000"/>
          <w:kern w:val="2"/>
          <w:sz w:val="32"/>
          <w:szCs w:val="32"/>
        </w:rPr>
        <w:t>五是消防基础建设不断加强。</w:t>
      </w:r>
      <w:r>
        <w:rPr>
          <w:rFonts w:hint="eastAsia" w:ascii="仿宋" w:hAnsi="仿宋" w:eastAsia="仿宋" w:cs="仿宋"/>
          <w:color w:val="000000"/>
          <w:kern w:val="2"/>
          <w:sz w:val="32"/>
          <w:szCs w:val="32"/>
        </w:rPr>
        <w:t>区政府积极落实《江西省地方消防经费管理实施办法》，经费投入逐年加大，消防装备建设水平明显提升。“十三五”期间，区财政投入消防业务经费约2150万元，配备消防车12辆、装备2091件（套），建设城市消防站2个，其中二级消防站1个、小型消防站1个，乡镇消防站2个，新增营房建筑面积1237.78平方米。组建应急通信保障分队1支，专兼职通信保障人员4人，配齐应急通信装备，构建了“上下一致、立体协同、衔接紧密、运行有序”的消防应急指挥通信体系。全区共有政府专职队员40人(不包括乡镇兼职队员)，其中专职消防员25名，消防文员15名。共有乡镇专职队员31人(专职7人，兼职24人)。全区共有乡镇专职队2个，分布在鱼山（1个）、丽阳（1个）两个乡镇。指导建立富祥药业企业专职队1个。</w:t>
      </w:r>
    </w:p>
    <w:p>
      <w:pPr>
        <w:widowControl w:val="0"/>
        <w:spacing w:after="0" w:line="600" w:lineRule="exact"/>
        <w:ind w:firstLine="643" w:firstLineChars="200"/>
        <w:jc w:val="both"/>
        <w:rPr>
          <w:rFonts w:hint="eastAsia" w:ascii="仿宋" w:hAnsi="仿宋" w:eastAsia="仿宋" w:cs="仿宋"/>
          <w:color w:val="000000"/>
          <w:kern w:val="2"/>
          <w:sz w:val="32"/>
          <w:szCs w:val="32"/>
        </w:rPr>
      </w:pPr>
      <w:r>
        <w:rPr>
          <w:rFonts w:hint="eastAsia" w:ascii="仿宋" w:hAnsi="仿宋" w:eastAsia="仿宋" w:cs="仿宋"/>
          <w:b/>
          <w:bCs/>
          <w:color w:val="000000"/>
          <w:kern w:val="2"/>
          <w:sz w:val="32"/>
          <w:szCs w:val="32"/>
        </w:rPr>
        <w:t>六是消防救援专业化水准持续增强。</w:t>
      </w:r>
      <w:r>
        <w:rPr>
          <w:rFonts w:hint="eastAsia" w:ascii="仿宋" w:hAnsi="仿宋" w:eastAsia="仿宋" w:cs="仿宋"/>
          <w:color w:val="000000"/>
          <w:kern w:val="2"/>
          <w:sz w:val="32"/>
          <w:szCs w:val="32"/>
        </w:rPr>
        <w:t>按照实体化运转、战斗化准备、快速化反应、专业化指挥要求，建成3支多种灾害事故救援专业队，构建全灾种消防救援体系。强化各类灾害处置技术战法课题攻关，广泛开展岗位练兵和实战演练，大力加强应急状态建设，灭火救援能力加快升级。健全监测预警、应急响应、决策指挥、前置备勤、协同作战等机制，常态化开展实战拉动和熟悉演练，确保队伍召之即来，来之能战，战之必胜。</w:t>
      </w:r>
    </w:p>
    <w:p>
      <w:pPr>
        <w:widowControl w:val="0"/>
        <w:spacing w:after="0" w:line="600" w:lineRule="exact"/>
        <w:ind w:firstLine="640" w:firstLineChars="200"/>
        <w:jc w:val="both"/>
        <w:rPr>
          <w:rFonts w:hint="eastAsia" w:ascii="仿宋" w:hAnsi="仿宋" w:eastAsia="仿宋" w:cs="仿宋"/>
          <w:color w:val="000000"/>
          <w:kern w:val="2"/>
          <w:sz w:val="32"/>
          <w:szCs w:val="32"/>
        </w:rPr>
      </w:pPr>
    </w:p>
    <w:p>
      <w:pPr>
        <w:widowControl w:val="0"/>
        <w:spacing w:after="0" w:line="600" w:lineRule="exact"/>
        <w:ind w:firstLine="640" w:firstLineChars="200"/>
        <w:jc w:val="both"/>
        <w:rPr>
          <w:rFonts w:eastAsia="方正仿宋_GBK"/>
          <w:color w:val="FF0000"/>
          <w:kern w:val="2"/>
          <w:sz w:val="32"/>
          <w:szCs w:val="32"/>
        </w:rPr>
      </w:pPr>
    </w:p>
    <w:tbl>
      <w:tblPr>
        <w:tblStyle w:val="10"/>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8"/>
        <w:gridCol w:w="1078"/>
        <w:gridCol w:w="1078"/>
        <w:gridCol w:w="1078"/>
        <w:gridCol w:w="1078"/>
        <w:gridCol w:w="1078"/>
        <w:gridCol w:w="1079"/>
        <w:gridCol w:w="1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8640" w:type="dxa"/>
            <w:gridSpan w:val="8"/>
            <w:vAlign w:val="center"/>
          </w:tcPr>
          <w:p>
            <w:pPr>
              <w:widowControl w:val="0"/>
              <w:adjustRightInd/>
              <w:snapToGrid/>
              <w:spacing w:after="0" w:line="600" w:lineRule="exact"/>
              <w:jc w:val="center"/>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“十三五”期间全区消防队伍接警出动基本情况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1078" w:type="dxa"/>
            <w:vAlign w:val="center"/>
          </w:tcPr>
          <w:p>
            <w:pPr>
              <w:widowControl w:val="0"/>
              <w:adjustRightInd/>
              <w:snapToGrid/>
              <w:spacing w:after="0" w:line="600" w:lineRule="exact"/>
              <w:jc w:val="center"/>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年份</w:t>
            </w:r>
          </w:p>
        </w:tc>
        <w:tc>
          <w:tcPr>
            <w:tcW w:w="1078" w:type="dxa"/>
            <w:vAlign w:val="center"/>
          </w:tcPr>
          <w:p>
            <w:pPr>
              <w:widowControl w:val="0"/>
              <w:adjustRightInd/>
              <w:snapToGrid/>
              <w:spacing w:after="0" w:line="600" w:lineRule="exact"/>
              <w:jc w:val="center"/>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火灾扑救</w:t>
            </w:r>
          </w:p>
        </w:tc>
        <w:tc>
          <w:tcPr>
            <w:tcW w:w="1078" w:type="dxa"/>
            <w:vAlign w:val="center"/>
          </w:tcPr>
          <w:p>
            <w:pPr>
              <w:widowControl w:val="0"/>
              <w:adjustRightInd/>
              <w:snapToGrid/>
              <w:spacing w:after="0" w:line="600" w:lineRule="exact"/>
              <w:jc w:val="center"/>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抢险救援</w:t>
            </w:r>
          </w:p>
        </w:tc>
        <w:tc>
          <w:tcPr>
            <w:tcW w:w="1078" w:type="dxa"/>
            <w:vAlign w:val="center"/>
          </w:tcPr>
          <w:p>
            <w:pPr>
              <w:widowControl w:val="0"/>
              <w:adjustRightInd/>
              <w:snapToGrid/>
              <w:spacing w:after="0" w:line="600" w:lineRule="exact"/>
              <w:jc w:val="center"/>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反恐排爆</w:t>
            </w:r>
          </w:p>
        </w:tc>
        <w:tc>
          <w:tcPr>
            <w:tcW w:w="1078" w:type="dxa"/>
            <w:vAlign w:val="center"/>
          </w:tcPr>
          <w:p>
            <w:pPr>
              <w:widowControl w:val="0"/>
              <w:adjustRightInd/>
              <w:snapToGrid/>
              <w:spacing w:after="0" w:line="600" w:lineRule="exact"/>
              <w:jc w:val="center"/>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公务执勤</w:t>
            </w:r>
          </w:p>
        </w:tc>
        <w:tc>
          <w:tcPr>
            <w:tcW w:w="1078" w:type="dxa"/>
            <w:vAlign w:val="center"/>
          </w:tcPr>
          <w:p>
            <w:pPr>
              <w:widowControl w:val="0"/>
              <w:adjustRightInd/>
              <w:snapToGrid/>
              <w:spacing w:after="0" w:line="600" w:lineRule="exact"/>
              <w:jc w:val="center"/>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社会救助</w:t>
            </w:r>
          </w:p>
        </w:tc>
        <w:tc>
          <w:tcPr>
            <w:tcW w:w="1079" w:type="dxa"/>
            <w:vAlign w:val="center"/>
          </w:tcPr>
          <w:p>
            <w:pPr>
              <w:widowControl w:val="0"/>
              <w:adjustRightInd/>
              <w:snapToGrid/>
              <w:spacing w:after="0" w:line="600" w:lineRule="exact"/>
              <w:jc w:val="center"/>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其他</w:t>
            </w:r>
          </w:p>
        </w:tc>
        <w:tc>
          <w:tcPr>
            <w:tcW w:w="1093" w:type="dxa"/>
            <w:vAlign w:val="center"/>
          </w:tcPr>
          <w:p>
            <w:pPr>
              <w:widowControl w:val="0"/>
              <w:adjustRightInd/>
              <w:snapToGrid/>
              <w:spacing w:after="0" w:line="600" w:lineRule="exact"/>
              <w:jc w:val="center"/>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出动起数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078" w:type="dxa"/>
            <w:vAlign w:val="center"/>
          </w:tcPr>
          <w:p>
            <w:pPr>
              <w:widowControl w:val="0"/>
              <w:adjustRightInd/>
              <w:snapToGrid/>
              <w:spacing w:after="0" w:line="600" w:lineRule="exact"/>
              <w:jc w:val="center"/>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2016</w:t>
            </w:r>
          </w:p>
        </w:tc>
        <w:tc>
          <w:tcPr>
            <w:tcW w:w="1078" w:type="dxa"/>
            <w:vAlign w:val="center"/>
          </w:tcPr>
          <w:p>
            <w:pPr>
              <w:widowControl w:val="0"/>
              <w:adjustRightInd/>
              <w:snapToGrid/>
              <w:spacing w:after="0" w:line="600" w:lineRule="exact"/>
              <w:jc w:val="center"/>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34</w:t>
            </w:r>
          </w:p>
        </w:tc>
        <w:tc>
          <w:tcPr>
            <w:tcW w:w="1078" w:type="dxa"/>
            <w:vAlign w:val="center"/>
          </w:tcPr>
          <w:p>
            <w:pPr>
              <w:widowControl w:val="0"/>
              <w:adjustRightInd/>
              <w:snapToGrid/>
              <w:spacing w:after="0" w:line="600" w:lineRule="exact"/>
              <w:jc w:val="center"/>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13</w:t>
            </w:r>
          </w:p>
        </w:tc>
        <w:tc>
          <w:tcPr>
            <w:tcW w:w="1078" w:type="dxa"/>
            <w:vAlign w:val="center"/>
          </w:tcPr>
          <w:p>
            <w:pPr>
              <w:widowControl w:val="0"/>
              <w:adjustRightInd/>
              <w:snapToGrid/>
              <w:spacing w:after="0" w:line="600" w:lineRule="exact"/>
              <w:jc w:val="center"/>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0</w:t>
            </w:r>
          </w:p>
        </w:tc>
        <w:tc>
          <w:tcPr>
            <w:tcW w:w="1078" w:type="dxa"/>
            <w:vAlign w:val="center"/>
          </w:tcPr>
          <w:p>
            <w:pPr>
              <w:widowControl w:val="0"/>
              <w:adjustRightInd/>
              <w:snapToGrid/>
              <w:spacing w:after="0" w:line="600" w:lineRule="exact"/>
              <w:jc w:val="center"/>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0</w:t>
            </w:r>
          </w:p>
        </w:tc>
        <w:tc>
          <w:tcPr>
            <w:tcW w:w="1078" w:type="dxa"/>
            <w:vAlign w:val="center"/>
          </w:tcPr>
          <w:p>
            <w:pPr>
              <w:widowControl w:val="0"/>
              <w:adjustRightInd/>
              <w:snapToGrid/>
              <w:spacing w:after="0" w:line="600" w:lineRule="exact"/>
              <w:jc w:val="center"/>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89</w:t>
            </w:r>
          </w:p>
        </w:tc>
        <w:tc>
          <w:tcPr>
            <w:tcW w:w="1079" w:type="dxa"/>
            <w:vAlign w:val="center"/>
          </w:tcPr>
          <w:p>
            <w:pPr>
              <w:widowControl w:val="0"/>
              <w:adjustRightInd/>
              <w:snapToGrid/>
              <w:spacing w:after="0" w:line="600" w:lineRule="exact"/>
              <w:jc w:val="center"/>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2</w:t>
            </w:r>
          </w:p>
        </w:tc>
        <w:tc>
          <w:tcPr>
            <w:tcW w:w="1093" w:type="dxa"/>
            <w:vAlign w:val="center"/>
          </w:tcPr>
          <w:p>
            <w:pPr>
              <w:widowControl w:val="0"/>
              <w:adjustRightInd/>
              <w:snapToGrid/>
              <w:spacing w:after="0" w:line="600" w:lineRule="exact"/>
              <w:jc w:val="center"/>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138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078" w:type="dxa"/>
            <w:vAlign w:val="center"/>
          </w:tcPr>
          <w:p>
            <w:pPr>
              <w:widowControl w:val="0"/>
              <w:adjustRightInd/>
              <w:snapToGrid/>
              <w:spacing w:after="0" w:line="600" w:lineRule="exact"/>
              <w:jc w:val="center"/>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2017</w:t>
            </w:r>
          </w:p>
        </w:tc>
        <w:tc>
          <w:tcPr>
            <w:tcW w:w="1078" w:type="dxa"/>
            <w:vAlign w:val="center"/>
          </w:tcPr>
          <w:p>
            <w:pPr>
              <w:widowControl w:val="0"/>
              <w:adjustRightInd/>
              <w:snapToGrid/>
              <w:spacing w:after="0" w:line="600" w:lineRule="exact"/>
              <w:jc w:val="center"/>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57</w:t>
            </w:r>
          </w:p>
        </w:tc>
        <w:tc>
          <w:tcPr>
            <w:tcW w:w="1078" w:type="dxa"/>
            <w:vAlign w:val="center"/>
          </w:tcPr>
          <w:p>
            <w:pPr>
              <w:widowControl w:val="0"/>
              <w:adjustRightInd/>
              <w:snapToGrid/>
              <w:spacing w:after="0" w:line="600" w:lineRule="exact"/>
              <w:jc w:val="center"/>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39</w:t>
            </w:r>
          </w:p>
        </w:tc>
        <w:tc>
          <w:tcPr>
            <w:tcW w:w="1078" w:type="dxa"/>
            <w:vAlign w:val="center"/>
          </w:tcPr>
          <w:p>
            <w:pPr>
              <w:widowControl w:val="0"/>
              <w:adjustRightInd/>
              <w:snapToGrid/>
              <w:spacing w:after="0" w:line="600" w:lineRule="exact"/>
              <w:jc w:val="center"/>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0</w:t>
            </w:r>
          </w:p>
        </w:tc>
        <w:tc>
          <w:tcPr>
            <w:tcW w:w="1078" w:type="dxa"/>
            <w:vAlign w:val="center"/>
          </w:tcPr>
          <w:p>
            <w:pPr>
              <w:widowControl w:val="0"/>
              <w:adjustRightInd/>
              <w:snapToGrid/>
              <w:spacing w:after="0" w:line="600" w:lineRule="exact"/>
              <w:jc w:val="center"/>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1</w:t>
            </w:r>
          </w:p>
        </w:tc>
        <w:tc>
          <w:tcPr>
            <w:tcW w:w="1078" w:type="dxa"/>
            <w:vAlign w:val="center"/>
          </w:tcPr>
          <w:p>
            <w:pPr>
              <w:widowControl w:val="0"/>
              <w:adjustRightInd/>
              <w:snapToGrid/>
              <w:spacing w:after="0" w:line="600" w:lineRule="exact"/>
              <w:jc w:val="center"/>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105</w:t>
            </w:r>
          </w:p>
        </w:tc>
        <w:tc>
          <w:tcPr>
            <w:tcW w:w="1079" w:type="dxa"/>
            <w:vAlign w:val="center"/>
          </w:tcPr>
          <w:p>
            <w:pPr>
              <w:widowControl w:val="0"/>
              <w:adjustRightInd/>
              <w:snapToGrid/>
              <w:spacing w:after="0" w:line="600" w:lineRule="exact"/>
              <w:jc w:val="center"/>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1</w:t>
            </w:r>
          </w:p>
        </w:tc>
        <w:tc>
          <w:tcPr>
            <w:tcW w:w="1093" w:type="dxa"/>
            <w:vAlign w:val="center"/>
          </w:tcPr>
          <w:p>
            <w:pPr>
              <w:widowControl w:val="0"/>
              <w:adjustRightInd/>
              <w:snapToGrid/>
              <w:spacing w:after="0" w:line="600" w:lineRule="exact"/>
              <w:jc w:val="center"/>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078" w:type="dxa"/>
            <w:vAlign w:val="center"/>
          </w:tcPr>
          <w:p>
            <w:pPr>
              <w:widowControl w:val="0"/>
              <w:adjustRightInd/>
              <w:snapToGrid/>
              <w:spacing w:after="0" w:line="600" w:lineRule="exact"/>
              <w:jc w:val="center"/>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2018</w:t>
            </w:r>
          </w:p>
        </w:tc>
        <w:tc>
          <w:tcPr>
            <w:tcW w:w="1078" w:type="dxa"/>
            <w:vAlign w:val="center"/>
          </w:tcPr>
          <w:p>
            <w:pPr>
              <w:widowControl w:val="0"/>
              <w:adjustRightInd/>
              <w:snapToGrid/>
              <w:spacing w:after="0" w:line="600" w:lineRule="exact"/>
              <w:jc w:val="center"/>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78</w:t>
            </w:r>
          </w:p>
        </w:tc>
        <w:tc>
          <w:tcPr>
            <w:tcW w:w="1078" w:type="dxa"/>
            <w:vAlign w:val="center"/>
          </w:tcPr>
          <w:p>
            <w:pPr>
              <w:widowControl w:val="0"/>
              <w:adjustRightInd/>
              <w:snapToGrid/>
              <w:spacing w:after="0" w:line="600" w:lineRule="exact"/>
              <w:jc w:val="center"/>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127</w:t>
            </w:r>
          </w:p>
        </w:tc>
        <w:tc>
          <w:tcPr>
            <w:tcW w:w="1078" w:type="dxa"/>
            <w:vAlign w:val="center"/>
          </w:tcPr>
          <w:p>
            <w:pPr>
              <w:widowControl w:val="0"/>
              <w:adjustRightInd/>
              <w:snapToGrid/>
              <w:spacing w:after="0" w:line="600" w:lineRule="exact"/>
              <w:jc w:val="center"/>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0</w:t>
            </w:r>
          </w:p>
        </w:tc>
        <w:tc>
          <w:tcPr>
            <w:tcW w:w="1078" w:type="dxa"/>
            <w:vAlign w:val="center"/>
          </w:tcPr>
          <w:p>
            <w:pPr>
              <w:widowControl w:val="0"/>
              <w:adjustRightInd/>
              <w:snapToGrid/>
              <w:spacing w:after="0" w:line="600" w:lineRule="exact"/>
              <w:jc w:val="center"/>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43</w:t>
            </w:r>
          </w:p>
        </w:tc>
        <w:tc>
          <w:tcPr>
            <w:tcW w:w="1078" w:type="dxa"/>
            <w:vAlign w:val="center"/>
          </w:tcPr>
          <w:p>
            <w:pPr>
              <w:widowControl w:val="0"/>
              <w:adjustRightInd/>
              <w:snapToGrid/>
              <w:spacing w:after="0" w:line="600" w:lineRule="exact"/>
              <w:jc w:val="center"/>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212</w:t>
            </w:r>
          </w:p>
        </w:tc>
        <w:tc>
          <w:tcPr>
            <w:tcW w:w="1079" w:type="dxa"/>
            <w:vAlign w:val="center"/>
          </w:tcPr>
          <w:p>
            <w:pPr>
              <w:widowControl w:val="0"/>
              <w:adjustRightInd/>
              <w:snapToGrid/>
              <w:spacing w:after="0" w:line="600" w:lineRule="exact"/>
              <w:jc w:val="center"/>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5</w:t>
            </w:r>
          </w:p>
        </w:tc>
        <w:tc>
          <w:tcPr>
            <w:tcW w:w="1093" w:type="dxa"/>
            <w:vAlign w:val="center"/>
          </w:tcPr>
          <w:p>
            <w:pPr>
              <w:widowControl w:val="0"/>
              <w:adjustRightInd/>
              <w:snapToGrid/>
              <w:spacing w:after="0" w:line="600" w:lineRule="exact"/>
              <w:jc w:val="center"/>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465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078" w:type="dxa"/>
            <w:vAlign w:val="center"/>
          </w:tcPr>
          <w:p>
            <w:pPr>
              <w:widowControl w:val="0"/>
              <w:adjustRightInd/>
              <w:snapToGrid/>
              <w:spacing w:after="0" w:line="600" w:lineRule="exact"/>
              <w:jc w:val="center"/>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2019</w:t>
            </w:r>
          </w:p>
        </w:tc>
        <w:tc>
          <w:tcPr>
            <w:tcW w:w="1078" w:type="dxa"/>
            <w:vAlign w:val="center"/>
          </w:tcPr>
          <w:p>
            <w:pPr>
              <w:widowControl w:val="0"/>
              <w:adjustRightInd/>
              <w:snapToGrid/>
              <w:spacing w:after="0" w:line="600" w:lineRule="exact"/>
              <w:jc w:val="center"/>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86</w:t>
            </w:r>
          </w:p>
        </w:tc>
        <w:tc>
          <w:tcPr>
            <w:tcW w:w="1078" w:type="dxa"/>
            <w:vAlign w:val="center"/>
          </w:tcPr>
          <w:p>
            <w:pPr>
              <w:widowControl w:val="0"/>
              <w:adjustRightInd/>
              <w:snapToGrid/>
              <w:spacing w:after="0" w:line="600" w:lineRule="exact"/>
              <w:jc w:val="center"/>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232</w:t>
            </w:r>
          </w:p>
        </w:tc>
        <w:tc>
          <w:tcPr>
            <w:tcW w:w="1078" w:type="dxa"/>
            <w:vAlign w:val="center"/>
          </w:tcPr>
          <w:p>
            <w:pPr>
              <w:widowControl w:val="0"/>
              <w:adjustRightInd/>
              <w:snapToGrid/>
              <w:spacing w:after="0" w:line="600" w:lineRule="exact"/>
              <w:jc w:val="center"/>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0</w:t>
            </w:r>
          </w:p>
        </w:tc>
        <w:tc>
          <w:tcPr>
            <w:tcW w:w="1078" w:type="dxa"/>
            <w:vAlign w:val="center"/>
          </w:tcPr>
          <w:p>
            <w:pPr>
              <w:widowControl w:val="0"/>
              <w:adjustRightInd/>
              <w:snapToGrid/>
              <w:spacing w:after="0" w:line="600" w:lineRule="exact"/>
              <w:jc w:val="center"/>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135</w:t>
            </w:r>
          </w:p>
        </w:tc>
        <w:tc>
          <w:tcPr>
            <w:tcW w:w="1078" w:type="dxa"/>
            <w:vAlign w:val="center"/>
          </w:tcPr>
          <w:p>
            <w:pPr>
              <w:widowControl w:val="0"/>
              <w:adjustRightInd/>
              <w:snapToGrid/>
              <w:spacing w:after="0" w:line="600" w:lineRule="exact"/>
              <w:jc w:val="center"/>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140</w:t>
            </w:r>
          </w:p>
        </w:tc>
        <w:tc>
          <w:tcPr>
            <w:tcW w:w="1079" w:type="dxa"/>
            <w:vAlign w:val="center"/>
          </w:tcPr>
          <w:p>
            <w:pPr>
              <w:widowControl w:val="0"/>
              <w:adjustRightInd/>
              <w:snapToGrid/>
              <w:spacing w:after="0" w:line="600" w:lineRule="exact"/>
              <w:jc w:val="center"/>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7</w:t>
            </w:r>
          </w:p>
        </w:tc>
        <w:tc>
          <w:tcPr>
            <w:tcW w:w="1093" w:type="dxa"/>
            <w:vAlign w:val="center"/>
          </w:tcPr>
          <w:p>
            <w:pPr>
              <w:widowControl w:val="0"/>
              <w:adjustRightInd/>
              <w:snapToGrid/>
              <w:spacing w:after="0" w:line="600" w:lineRule="exact"/>
              <w:jc w:val="center"/>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078" w:type="dxa"/>
            <w:vAlign w:val="center"/>
          </w:tcPr>
          <w:p>
            <w:pPr>
              <w:widowControl w:val="0"/>
              <w:adjustRightInd/>
              <w:snapToGrid/>
              <w:spacing w:after="0" w:line="600" w:lineRule="exact"/>
              <w:jc w:val="center"/>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2020</w:t>
            </w:r>
          </w:p>
        </w:tc>
        <w:tc>
          <w:tcPr>
            <w:tcW w:w="1078" w:type="dxa"/>
            <w:vAlign w:val="center"/>
          </w:tcPr>
          <w:p>
            <w:pPr>
              <w:widowControl w:val="0"/>
              <w:adjustRightInd/>
              <w:snapToGrid/>
              <w:spacing w:after="0" w:line="600" w:lineRule="exact"/>
              <w:jc w:val="center"/>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119</w:t>
            </w:r>
          </w:p>
        </w:tc>
        <w:tc>
          <w:tcPr>
            <w:tcW w:w="1078" w:type="dxa"/>
            <w:vAlign w:val="center"/>
          </w:tcPr>
          <w:p>
            <w:pPr>
              <w:widowControl w:val="0"/>
              <w:adjustRightInd/>
              <w:snapToGrid/>
              <w:spacing w:after="0" w:line="600" w:lineRule="exact"/>
              <w:jc w:val="center"/>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97</w:t>
            </w:r>
          </w:p>
        </w:tc>
        <w:tc>
          <w:tcPr>
            <w:tcW w:w="1078" w:type="dxa"/>
            <w:vAlign w:val="center"/>
          </w:tcPr>
          <w:p>
            <w:pPr>
              <w:widowControl w:val="0"/>
              <w:adjustRightInd/>
              <w:snapToGrid/>
              <w:spacing w:after="0" w:line="600" w:lineRule="exact"/>
              <w:jc w:val="center"/>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0</w:t>
            </w:r>
          </w:p>
        </w:tc>
        <w:tc>
          <w:tcPr>
            <w:tcW w:w="1078" w:type="dxa"/>
            <w:vAlign w:val="center"/>
          </w:tcPr>
          <w:p>
            <w:pPr>
              <w:widowControl w:val="0"/>
              <w:adjustRightInd/>
              <w:snapToGrid/>
              <w:spacing w:after="0" w:line="600" w:lineRule="exact"/>
              <w:jc w:val="center"/>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46</w:t>
            </w:r>
          </w:p>
        </w:tc>
        <w:tc>
          <w:tcPr>
            <w:tcW w:w="1078" w:type="dxa"/>
            <w:vAlign w:val="center"/>
          </w:tcPr>
          <w:p>
            <w:pPr>
              <w:widowControl w:val="0"/>
              <w:adjustRightInd/>
              <w:snapToGrid/>
              <w:spacing w:after="0" w:line="600" w:lineRule="exact"/>
              <w:jc w:val="center"/>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167</w:t>
            </w:r>
          </w:p>
        </w:tc>
        <w:tc>
          <w:tcPr>
            <w:tcW w:w="1079" w:type="dxa"/>
            <w:vAlign w:val="center"/>
          </w:tcPr>
          <w:p>
            <w:pPr>
              <w:widowControl w:val="0"/>
              <w:adjustRightInd/>
              <w:snapToGrid/>
              <w:spacing w:after="0" w:line="600" w:lineRule="exact"/>
              <w:jc w:val="center"/>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43</w:t>
            </w:r>
          </w:p>
        </w:tc>
        <w:tc>
          <w:tcPr>
            <w:tcW w:w="1093" w:type="dxa"/>
            <w:vAlign w:val="center"/>
          </w:tcPr>
          <w:p>
            <w:pPr>
              <w:widowControl w:val="0"/>
              <w:adjustRightInd/>
              <w:snapToGrid/>
              <w:spacing w:after="0" w:line="600" w:lineRule="exact"/>
              <w:jc w:val="center"/>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472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078" w:type="dxa"/>
            <w:vAlign w:val="center"/>
          </w:tcPr>
          <w:p>
            <w:pPr>
              <w:widowControl w:val="0"/>
              <w:adjustRightInd/>
              <w:snapToGrid/>
              <w:spacing w:after="0" w:line="600" w:lineRule="exact"/>
              <w:jc w:val="center"/>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合计</w:t>
            </w:r>
          </w:p>
        </w:tc>
        <w:tc>
          <w:tcPr>
            <w:tcW w:w="1078" w:type="dxa"/>
            <w:vAlign w:val="center"/>
          </w:tcPr>
          <w:p>
            <w:pPr>
              <w:widowControl w:val="0"/>
              <w:adjustRightInd/>
              <w:snapToGrid/>
              <w:spacing w:after="0" w:line="600" w:lineRule="exact"/>
              <w:jc w:val="center"/>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374</w:t>
            </w:r>
          </w:p>
        </w:tc>
        <w:tc>
          <w:tcPr>
            <w:tcW w:w="1078" w:type="dxa"/>
            <w:vAlign w:val="center"/>
          </w:tcPr>
          <w:p>
            <w:pPr>
              <w:widowControl w:val="0"/>
              <w:adjustRightInd/>
              <w:snapToGrid/>
              <w:spacing w:after="0" w:line="600" w:lineRule="exact"/>
              <w:jc w:val="center"/>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508</w:t>
            </w:r>
          </w:p>
        </w:tc>
        <w:tc>
          <w:tcPr>
            <w:tcW w:w="1078" w:type="dxa"/>
            <w:vAlign w:val="center"/>
          </w:tcPr>
          <w:p>
            <w:pPr>
              <w:widowControl w:val="0"/>
              <w:adjustRightInd/>
              <w:snapToGrid/>
              <w:spacing w:after="0" w:line="600" w:lineRule="exact"/>
              <w:jc w:val="center"/>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0</w:t>
            </w:r>
          </w:p>
        </w:tc>
        <w:tc>
          <w:tcPr>
            <w:tcW w:w="1078" w:type="dxa"/>
            <w:vAlign w:val="center"/>
          </w:tcPr>
          <w:p>
            <w:pPr>
              <w:widowControl w:val="0"/>
              <w:adjustRightInd/>
              <w:snapToGrid/>
              <w:spacing w:after="0" w:line="600" w:lineRule="exact"/>
              <w:jc w:val="center"/>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225</w:t>
            </w:r>
          </w:p>
        </w:tc>
        <w:tc>
          <w:tcPr>
            <w:tcW w:w="1078" w:type="dxa"/>
            <w:vAlign w:val="center"/>
          </w:tcPr>
          <w:p>
            <w:pPr>
              <w:widowControl w:val="0"/>
              <w:adjustRightInd/>
              <w:snapToGrid/>
              <w:spacing w:after="0" w:line="600" w:lineRule="exact"/>
              <w:jc w:val="center"/>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713</w:t>
            </w:r>
          </w:p>
        </w:tc>
        <w:tc>
          <w:tcPr>
            <w:tcW w:w="1079" w:type="dxa"/>
            <w:vAlign w:val="center"/>
          </w:tcPr>
          <w:p>
            <w:pPr>
              <w:widowControl w:val="0"/>
              <w:adjustRightInd/>
              <w:snapToGrid/>
              <w:spacing w:after="0" w:line="600" w:lineRule="exact"/>
              <w:jc w:val="center"/>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58</w:t>
            </w:r>
          </w:p>
        </w:tc>
        <w:tc>
          <w:tcPr>
            <w:tcW w:w="1093" w:type="dxa"/>
            <w:vAlign w:val="center"/>
          </w:tcPr>
          <w:p>
            <w:pPr>
              <w:widowControl w:val="0"/>
              <w:adjustRightInd/>
              <w:snapToGrid/>
              <w:spacing w:after="0" w:line="600" w:lineRule="exact"/>
              <w:jc w:val="center"/>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1878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8640" w:type="dxa"/>
            <w:gridSpan w:val="8"/>
            <w:vAlign w:val="center"/>
          </w:tcPr>
          <w:p>
            <w:pPr>
              <w:widowControl w:val="0"/>
              <w:adjustRightInd/>
              <w:snapToGrid/>
              <w:spacing w:after="0" w:line="600" w:lineRule="exac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备注：数据截止2020年12月31日</w:t>
            </w:r>
          </w:p>
        </w:tc>
      </w:tr>
    </w:tbl>
    <w:p>
      <w:pPr>
        <w:widowControl w:val="0"/>
        <w:adjustRightInd/>
        <w:snapToGrid/>
        <w:spacing w:after="0" w:line="600" w:lineRule="exact"/>
        <w:ind w:firstLine="643" w:firstLineChars="200"/>
        <w:jc w:val="both"/>
        <w:rPr>
          <w:rFonts w:hint="eastAsia" w:ascii="仿宋" w:hAnsi="仿宋" w:eastAsia="仿宋" w:cs="仿宋"/>
          <w:color w:val="000000"/>
          <w:kern w:val="2"/>
          <w:sz w:val="32"/>
          <w:szCs w:val="32"/>
        </w:rPr>
      </w:pPr>
      <w:r>
        <w:rPr>
          <w:rFonts w:hint="eastAsia" w:ascii="仿宋" w:hAnsi="仿宋" w:eastAsia="仿宋" w:cs="仿宋"/>
          <w:b/>
          <w:bCs/>
          <w:color w:val="000000"/>
          <w:kern w:val="2"/>
          <w:sz w:val="32"/>
          <w:szCs w:val="32"/>
        </w:rPr>
        <w:t>七是多种形式消防救援力量构建初见成效。</w:t>
      </w:r>
      <w:r>
        <w:rPr>
          <w:rFonts w:hint="eastAsia" w:ascii="仿宋" w:hAnsi="仿宋" w:eastAsia="仿宋" w:cs="仿宋"/>
          <w:color w:val="000000"/>
          <w:kern w:val="2"/>
          <w:sz w:val="32"/>
          <w:szCs w:val="32"/>
        </w:rPr>
        <w:t>深入推进多种形式消防力量“四联”工作，将全区4个专职队（含城市专职队、乡镇专职队、企业专职队）全部纳入“四联”调度系统，最大限度发挥了多种形式消防队伍“点多面广”、“ 打早灭小”实战优势。加强信息资源交互共享，联合公安、水利、气象、地震等部门建立信息共享协作机制，初步搭建了横向到边、纵向到底的应急响应合作架构。</w:t>
      </w:r>
    </w:p>
    <w:p>
      <w:pPr>
        <w:widowControl w:val="0"/>
        <w:adjustRightInd/>
        <w:snapToGrid/>
        <w:spacing w:after="0" w:line="600" w:lineRule="exact"/>
        <w:ind w:firstLine="643" w:firstLineChars="200"/>
        <w:jc w:val="both"/>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b/>
          <w:bCs/>
          <w:color w:val="000000" w:themeColor="text1"/>
          <w:kern w:val="2"/>
          <w:sz w:val="32"/>
          <w:szCs w:val="32"/>
          <w14:textFill>
            <w14:solidFill>
              <w14:schemeClr w14:val="tx1"/>
            </w14:solidFill>
          </w14:textFill>
        </w:rPr>
        <w:t>八是消防经费保障更加有力。</w:t>
      </w:r>
      <w:r>
        <w:rPr>
          <w:rFonts w:hint="eastAsia" w:ascii="仿宋" w:hAnsi="仿宋" w:eastAsia="仿宋" w:cs="仿宋"/>
          <w:color w:val="000000" w:themeColor="text1"/>
          <w:kern w:val="2"/>
          <w:sz w:val="32"/>
          <w:szCs w:val="32"/>
          <w14:textFill>
            <w14:solidFill>
              <w14:schemeClr w14:val="tx1"/>
            </w14:solidFill>
          </w14:textFill>
        </w:rPr>
        <w:t xml:space="preserve">十三五期间，全区消防业务经费实现每年足额保障；在队伍改革转隶期间，大队从全区消防工作发展大局出发，积极沟通协调，确保了业务经费稳中有升；全面贯彻落实政府会计制度重大改革，成立财务管理机构，规范财经运行秩序，全面提升财务管理效能。 </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35"/>
        <w:gridCol w:w="4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gridSpan w:val="2"/>
          </w:tcPr>
          <w:p>
            <w:pPr>
              <w:widowControl w:val="0"/>
              <w:adjustRightInd/>
              <w:snapToGrid/>
              <w:spacing w:after="0" w:line="600" w:lineRule="exact"/>
              <w:jc w:val="center"/>
              <w:rPr>
                <w:rFonts w:hint="eastAsia" w:ascii="仿宋" w:hAnsi="仿宋" w:eastAsia="仿宋" w:cs="仿宋"/>
                <w:b/>
                <w:bCs/>
                <w:color w:val="000000" w:themeColor="text1"/>
                <w:kern w:val="2"/>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“十三五”期间全区消防队伍经费基本情况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4643" w:type="dxa"/>
          </w:tcPr>
          <w:p>
            <w:pPr>
              <w:widowControl w:val="0"/>
              <w:adjustRightInd/>
              <w:snapToGrid/>
              <w:spacing w:after="0" w:line="600" w:lineRule="exact"/>
              <w:jc w:val="center"/>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年份</w:t>
            </w:r>
          </w:p>
        </w:tc>
        <w:tc>
          <w:tcPr>
            <w:tcW w:w="4643" w:type="dxa"/>
          </w:tcPr>
          <w:p>
            <w:pPr>
              <w:widowControl w:val="0"/>
              <w:adjustRightInd/>
              <w:snapToGrid/>
              <w:spacing w:after="0" w:line="600" w:lineRule="exact"/>
              <w:jc w:val="center"/>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pPr>
              <w:widowControl w:val="0"/>
              <w:adjustRightInd/>
              <w:snapToGrid/>
              <w:spacing w:after="0" w:line="600" w:lineRule="exact"/>
              <w:jc w:val="center"/>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2016年</w:t>
            </w:r>
          </w:p>
        </w:tc>
        <w:tc>
          <w:tcPr>
            <w:tcW w:w="4643" w:type="dxa"/>
          </w:tcPr>
          <w:p>
            <w:pPr>
              <w:widowControl w:val="0"/>
              <w:adjustRightInd/>
              <w:snapToGrid/>
              <w:spacing w:after="0" w:line="600" w:lineRule="exact"/>
              <w:jc w:val="center"/>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746.64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pPr>
              <w:widowControl w:val="0"/>
              <w:adjustRightInd/>
              <w:snapToGrid/>
              <w:spacing w:after="0" w:line="600" w:lineRule="exact"/>
              <w:jc w:val="center"/>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2017年</w:t>
            </w:r>
          </w:p>
        </w:tc>
        <w:tc>
          <w:tcPr>
            <w:tcW w:w="4643" w:type="dxa"/>
            <w:vAlign w:val="center"/>
          </w:tcPr>
          <w:p>
            <w:pPr>
              <w:widowControl w:val="0"/>
              <w:adjustRightInd/>
              <w:snapToGrid/>
              <w:spacing w:after="0" w:line="600" w:lineRule="exact"/>
              <w:jc w:val="center"/>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381.33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pPr>
              <w:widowControl w:val="0"/>
              <w:adjustRightInd/>
              <w:snapToGrid/>
              <w:spacing w:after="0" w:line="600" w:lineRule="exact"/>
              <w:jc w:val="center"/>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2018年</w:t>
            </w:r>
          </w:p>
        </w:tc>
        <w:tc>
          <w:tcPr>
            <w:tcW w:w="4643" w:type="dxa"/>
            <w:vAlign w:val="center"/>
          </w:tcPr>
          <w:p>
            <w:pPr>
              <w:widowControl w:val="0"/>
              <w:adjustRightInd/>
              <w:snapToGrid/>
              <w:spacing w:after="0" w:line="600" w:lineRule="exact"/>
              <w:jc w:val="center"/>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506.33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pPr>
              <w:widowControl w:val="0"/>
              <w:adjustRightInd/>
              <w:snapToGrid/>
              <w:spacing w:after="0" w:line="600" w:lineRule="exact"/>
              <w:jc w:val="center"/>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2019年</w:t>
            </w:r>
          </w:p>
        </w:tc>
        <w:tc>
          <w:tcPr>
            <w:tcW w:w="4643" w:type="dxa"/>
            <w:vAlign w:val="center"/>
          </w:tcPr>
          <w:p>
            <w:pPr>
              <w:widowControl w:val="0"/>
              <w:adjustRightInd/>
              <w:snapToGrid/>
              <w:spacing w:after="0" w:line="600" w:lineRule="exact"/>
              <w:jc w:val="center"/>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614.72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pPr>
              <w:widowControl w:val="0"/>
              <w:adjustRightInd/>
              <w:snapToGrid/>
              <w:spacing w:after="0" w:line="600" w:lineRule="exact"/>
              <w:jc w:val="center"/>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2020年</w:t>
            </w:r>
          </w:p>
        </w:tc>
        <w:tc>
          <w:tcPr>
            <w:tcW w:w="4643" w:type="dxa"/>
            <w:vAlign w:val="center"/>
          </w:tcPr>
          <w:p>
            <w:pPr>
              <w:widowControl w:val="0"/>
              <w:adjustRightInd/>
              <w:snapToGrid/>
              <w:spacing w:after="0" w:line="600" w:lineRule="exact"/>
              <w:jc w:val="center"/>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1217.99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gridSpan w:val="2"/>
          </w:tcPr>
          <w:p>
            <w:pPr>
              <w:widowControl w:val="0"/>
              <w:adjustRightInd/>
              <w:snapToGrid/>
              <w:spacing w:after="0" w:line="600" w:lineRule="exact"/>
              <w:jc w:val="both"/>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备注：数据截止2020年12月31日</w:t>
            </w:r>
          </w:p>
        </w:tc>
      </w:tr>
    </w:tbl>
    <w:p>
      <w:pPr>
        <w:widowControl w:val="0"/>
        <w:adjustRightInd/>
        <w:snapToGrid/>
        <w:spacing w:after="0" w:line="600" w:lineRule="exact"/>
        <w:ind w:firstLine="482" w:firstLineChars="150"/>
        <w:jc w:val="both"/>
        <w:rPr>
          <w:rFonts w:hint="eastAsia" w:ascii="楷体" w:hAnsi="楷体" w:eastAsia="楷体" w:cs="楷体"/>
          <w:b/>
          <w:bCs w:val="0"/>
          <w:color w:val="000000"/>
          <w:kern w:val="2"/>
          <w:sz w:val="32"/>
          <w:szCs w:val="32"/>
        </w:rPr>
      </w:pPr>
      <w:r>
        <w:rPr>
          <w:rFonts w:hint="eastAsia" w:ascii="楷体" w:hAnsi="楷体" w:eastAsia="楷体" w:cs="楷体"/>
          <w:b/>
          <w:bCs w:val="0"/>
          <w:color w:val="000000"/>
          <w:kern w:val="2"/>
          <w:sz w:val="32"/>
          <w:szCs w:val="32"/>
        </w:rPr>
        <w:t>（二）存在的不足</w:t>
      </w:r>
    </w:p>
    <w:p>
      <w:pPr>
        <w:widowControl w:val="0"/>
        <w:adjustRightInd/>
        <w:snapToGrid/>
        <w:spacing w:after="0" w:line="600" w:lineRule="exact"/>
        <w:ind w:firstLine="480" w:firstLineChars="150"/>
        <w:jc w:val="both"/>
        <w:rPr>
          <w:rFonts w:hint="eastAsia" w:ascii="仿宋" w:hAnsi="仿宋" w:eastAsia="仿宋" w:cs="仿宋"/>
          <w:color w:val="000000"/>
          <w:kern w:val="2"/>
          <w:sz w:val="32"/>
          <w:szCs w:val="32"/>
        </w:rPr>
      </w:pPr>
      <w:r>
        <w:rPr>
          <w:rFonts w:hint="eastAsia" w:ascii="仿宋" w:hAnsi="仿宋" w:eastAsia="仿宋" w:cs="仿宋"/>
          <w:color w:val="000000"/>
          <w:kern w:val="2"/>
          <w:sz w:val="32"/>
          <w:szCs w:val="32"/>
        </w:rPr>
        <w:t>“十三五”时期是适应经济发展新常态、全面转变经济社会发展方式的关键时期，是率先全面建成小康社会的决胜阶段。但是，发展不平衡不充分问题依然突出，结构性、体制性、周期性问题相互交织，消防救援工作仍面临严峻挑战。</w:t>
      </w:r>
    </w:p>
    <w:p>
      <w:pPr>
        <w:widowControl w:val="0"/>
        <w:adjustRightInd/>
        <w:snapToGrid/>
        <w:spacing w:after="0" w:line="600" w:lineRule="exact"/>
        <w:ind w:firstLine="643" w:firstLineChars="200"/>
        <w:jc w:val="both"/>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b/>
          <w:bCs/>
          <w:color w:val="000000" w:themeColor="text1"/>
          <w:kern w:val="2"/>
          <w:sz w:val="32"/>
          <w:szCs w:val="32"/>
          <w14:textFill>
            <w14:solidFill>
              <w14:schemeClr w14:val="tx1"/>
            </w14:solidFill>
          </w14:textFill>
        </w:rPr>
        <w:t>一是消防高风险领域逐年增多。</w:t>
      </w:r>
      <w:r>
        <w:rPr>
          <w:rFonts w:hint="eastAsia" w:ascii="仿宋" w:hAnsi="仿宋" w:eastAsia="仿宋" w:cs="仿宋"/>
          <w:color w:val="000000" w:themeColor="text1"/>
          <w:kern w:val="2"/>
          <w:sz w:val="32"/>
          <w:szCs w:val="32"/>
          <w14:textFill>
            <w14:solidFill>
              <w14:schemeClr w14:val="tx1"/>
            </w14:solidFill>
          </w14:textFill>
        </w:rPr>
        <w:t>全区高层建筑共有 312栋，最高高层99米，其中：超过50米的高层建筑共有136栋，占所有高层建筑总数的43.59%。老旧城区、棚户区“先天不足、后天缺陷”的火患问题依然存在。危化企业、梭式窑、九小场所等火灾问题不容小觑。</w:t>
      </w:r>
    </w:p>
    <w:p>
      <w:pPr>
        <w:widowControl w:val="0"/>
        <w:adjustRightInd/>
        <w:snapToGrid/>
        <w:spacing w:after="0" w:line="600" w:lineRule="exact"/>
        <w:ind w:firstLine="643" w:firstLineChars="200"/>
        <w:jc w:val="both"/>
        <w:rPr>
          <w:rFonts w:hint="eastAsia" w:ascii="仿宋" w:hAnsi="仿宋" w:eastAsia="仿宋" w:cs="仿宋"/>
          <w:color w:val="000000"/>
          <w:kern w:val="2"/>
          <w:sz w:val="32"/>
          <w:szCs w:val="32"/>
        </w:rPr>
      </w:pPr>
      <w:r>
        <w:rPr>
          <w:rFonts w:hint="eastAsia" w:ascii="仿宋" w:hAnsi="仿宋" w:eastAsia="仿宋" w:cs="仿宋"/>
          <w:b/>
          <w:bCs/>
          <w:color w:val="000000"/>
          <w:kern w:val="2"/>
          <w:sz w:val="32"/>
          <w:szCs w:val="32"/>
        </w:rPr>
        <w:t>二是消防安全责任制还需压实。</w:t>
      </w:r>
      <w:r>
        <w:rPr>
          <w:rFonts w:hint="eastAsia" w:ascii="仿宋" w:hAnsi="仿宋" w:eastAsia="仿宋" w:cs="仿宋"/>
          <w:color w:val="000000"/>
          <w:kern w:val="2"/>
          <w:sz w:val="32"/>
          <w:szCs w:val="32"/>
        </w:rPr>
        <w:t>消防工作责任层层弱化，对消防工作的组织领导存在“上热下冷”现象。相关职能部门依法依责抓消防的力度不大，行业消防安全标准化管理尚未全面铺开，行业部门共商共治局面尚未形成，部分单位消防安全意识、法制观念淡薄，消防安全管理制度执行不到位；一些乡镇（街道）基层消防安全监管力量还很薄弱，监管作用发挥还不明显。</w:t>
      </w:r>
    </w:p>
    <w:p>
      <w:pPr>
        <w:widowControl w:val="0"/>
        <w:adjustRightInd/>
        <w:snapToGrid/>
        <w:spacing w:after="0" w:line="600" w:lineRule="exact"/>
        <w:ind w:firstLine="643" w:firstLineChars="200"/>
        <w:jc w:val="both"/>
        <w:rPr>
          <w:rFonts w:hint="eastAsia" w:ascii="仿宋" w:hAnsi="仿宋" w:eastAsia="仿宋" w:cs="仿宋"/>
          <w:color w:val="000000"/>
          <w:kern w:val="2"/>
          <w:sz w:val="32"/>
          <w:szCs w:val="32"/>
        </w:rPr>
      </w:pPr>
      <w:r>
        <w:rPr>
          <w:rFonts w:hint="eastAsia" w:ascii="仿宋" w:hAnsi="仿宋" w:eastAsia="仿宋" w:cs="仿宋"/>
          <w:b/>
          <w:bCs/>
          <w:color w:val="000000"/>
          <w:kern w:val="2"/>
          <w:sz w:val="32"/>
          <w:szCs w:val="32"/>
        </w:rPr>
        <w:t>三是智慧防控精准度不够。</w:t>
      </w:r>
      <w:r>
        <w:rPr>
          <w:rFonts w:hint="eastAsia" w:ascii="仿宋" w:hAnsi="仿宋" w:eastAsia="仿宋" w:cs="仿宋"/>
          <w:color w:val="000000"/>
          <w:kern w:val="2"/>
          <w:sz w:val="32"/>
          <w:szCs w:val="32"/>
        </w:rPr>
        <w:t>在信息技术快速发展的宏观背景下，“智慧消防” 建设政策支持、资金投入方面相对滞后，社会力量参与建设的动力不足，全区消防信息化发展还不均衡。信息化的源头监管手段匮乏、范围有限、能力不强，火灾风险智能分析和隐患动态监测预警水平较低，灵敏真实、快速机动的灾害现场感知网络尚未形成，采集汇聚信息的准确性和时效性有待提高，辅助指挥决策的效能不佳。</w:t>
      </w:r>
    </w:p>
    <w:p>
      <w:pPr>
        <w:widowControl w:val="0"/>
        <w:adjustRightInd/>
        <w:snapToGrid/>
        <w:spacing w:after="0" w:line="600" w:lineRule="exact"/>
        <w:ind w:firstLine="643" w:firstLineChars="200"/>
        <w:jc w:val="both"/>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b/>
          <w:bCs/>
          <w:color w:val="000000" w:themeColor="text1"/>
          <w:kern w:val="2"/>
          <w:sz w:val="32"/>
          <w:szCs w:val="32"/>
          <w14:textFill>
            <w14:solidFill>
              <w14:schemeClr w14:val="tx1"/>
            </w14:solidFill>
          </w14:textFill>
        </w:rPr>
        <w:t>四是应急救援力量专业能力和平衡性有待加强。</w:t>
      </w:r>
      <w:r>
        <w:rPr>
          <w:rFonts w:hint="eastAsia" w:ascii="仿宋" w:hAnsi="仿宋" w:eastAsia="仿宋" w:cs="仿宋"/>
          <w:color w:val="000000" w:themeColor="text1"/>
          <w:kern w:val="2"/>
          <w:sz w:val="32"/>
          <w:szCs w:val="32"/>
          <w14:textFill>
            <w14:solidFill>
              <w14:schemeClr w14:val="tx1"/>
            </w14:solidFill>
          </w14:textFill>
        </w:rPr>
        <w:t>综合救援能力还不能完全适应“全灾种”“大应急”救援现实需要，专业救援力量建设尚未形成体系，地震、水域、森林、山岳等灾害事故处置经验欠缺。尤其是面对频繁发生的自然灾害，防灾减灾资源社会化、模块化、集中化程度不高、联勤联动机制弱化、多元消防力量重建轻管、乡镇专职消防队建设质量不高、发展不平衡等现实问题依旧突出，运行效率难以满足快速高效的应急处置需求。</w:t>
      </w:r>
    </w:p>
    <w:p>
      <w:pPr>
        <w:spacing w:after="0" w:line="600" w:lineRule="exact"/>
        <w:ind w:firstLine="643" w:firstLineChars="200"/>
        <w:jc w:val="both"/>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b/>
          <w:bCs/>
          <w:color w:val="000000"/>
          <w:kern w:val="2"/>
          <w:sz w:val="32"/>
          <w:szCs w:val="32"/>
        </w:rPr>
        <w:t>五是消防基础设施建设相对滞后。</w:t>
      </w:r>
      <w:r>
        <w:rPr>
          <w:rFonts w:hint="eastAsia" w:ascii="仿宋" w:hAnsi="仿宋" w:eastAsia="仿宋" w:cs="仿宋"/>
          <w:color w:val="000000"/>
          <w:kern w:val="2"/>
          <w:sz w:val="32"/>
          <w:szCs w:val="32"/>
        </w:rPr>
        <w:t>一方面，全区城市发展规划、消防事业规划、消防救援队伍基础建设互不匹配，城镇市政消防水源欠账较多，公共消防设施建设滞后。现有消防站建设标准不高，队站布点相对于5分钟消防的响应要求和普通消防站辖区面积不宜大于4～7平方公里的国家标准，仍需不断改进。</w:t>
      </w:r>
      <w:r>
        <w:rPr>
          <w:rFonts w:hint="eastAsia" w:ascii="仿宋" w:hAnsi="仿宋" w:eastAsia="仿宋" w:cs="仿宋"/>
          <w:color w:val="000000" w:themeColor="text1"/>
          <w:kern w:val="2"/>
          <w:sz w:val="32"/>
          <w:szCs w:val="32"/>
          <w14:textFill>
            <w14:solidFill>
              <w14:schemeClr w14:val="tx1"/>
            </w14:solidFill>
          </w14:textFill>
        </w:rPr>
        <w:t>另一方面，全区地方消防经费总量基数较低，消防经费、队站、力量正常增长机制尚未形成。应急物资储备总体规模不足，应对特别重大灾害的应急物资干线运输和末端投送手段单一、运力不足以及“72小时”应急物资保障短板较为突出。</w:t>
      </w:r>
    </w:p>
    <w:p>
      <w:pPr>
        <w:spacing w:after="0" w:line="600" w:lineRule="exact"/>
        <w:ind w:firstLine="643" w:firstLineChars="200"/>
        <w:jc w:val="both"/>
        <w:rPr>
          <w:rFonts w:hint="eastAsia" w:ascii="仿宋" w:hAnsi="仿宋" w:eastAsia="仿宋" w:cs="仿宋"/>
          <w:color w:val="000000"/>
          <w:kern w:val="2"/>
          <w:sz w:val="32"/>
          <w:szCs w:val="32"/>
        </w:rPr>
      </w:pPr>
      <w:r>
        <w:rPr>
          <w:rFonts w:hint="eastAsia" w:ascii="仿宋" w:hAnsi="仿宋" w:eastAsia="仿宋" w:cs="仿宋"/>
          <w:b/>
          <w:bCs/>
          <w:color w:val="000000"/>
          <w:kern w:val="2"/>
          <w:sz w:val="32"/>
          <w:szCs w:val="32"/>
        </w:rPr>
        <w:t>六是公众消防安全意识仍需提高。</w:t>
      </w:r>
      <w:r>
        <w:rPr>
          <w:rFonts w:hint="eastAsia" w:ascii="仿宋" w:hAnsi="仿宋" w:eastAsia="仿宋" w:cs="仿宋"/>
          <w:color w:val="000000"/>
          <w:kern w:val="2"/>
          <w:sz w:val="32"/>
          <w:szCs w:val="32"/>
        </w:rPr>
        <w:t>重传统宣传思维、轻理念改革创新。宣传教育培训体系不完善，理念、机制、模式、方法跟不上全媒体时代转型要求，社会化消防宣传保障不到位，消防宣传体验场地设施偏少、利用率不高。社会“自知自查自改”火灾隐患、防范化解消防安全风险的意识和能力与智慧城市管理要求还不相适应，公民学习消防安全知识、参与消防培训演练的热情不高，消防安全意识淡薄，消防常识技能缺乏，自防自救能力偏低。</w:t>
      </w:r>
    </w:p>
    <w:p>
      <w:pPr>
        <w:widowControl w:val="0"/>
        <w:adjustRightInd/>
        <w:snapToGrid/>
        <w:spacing w:after="0" w:line="600" w:lineRule="exact"/>
        <w:ind w:firstLine="640" w:firstLineChars="200"/>
        <w:jc w:val="both"/>
        <w:rPr>
          <w:rFonts w:hint="eastAsia" w:ascii="黑体" w:hAnsi="黑体" w:eastAsia="黑体" w:cs="黑体"/>
          <w:bCs/>
          <w:color w:val="000000"/>
          <w:sz w:val="32"/>
          <w:szCs w:val="32"/>
        </w:rPr>
      </w:pPr>
      <w:bookmarkStart w:id="0" w:name="_Toc437353096"/>
      <w:bookmarkStart w:id="1" w:name="_Toc433723783"/>
      <w:r>
        <w:rPr>
          <w:rFonts w:hint="eastAsia" w:ascii="黑体" w:hAnsi="黑体" w:eastAsia="黑体" w:cs="黑体"/>
          <w:color w:val="000000"/>
          <w:sz w:val="32"/>
          <w:szCs w:val="32"/>
        </w:rPr>
        <w:t>二、</w:t>
      </w:r>
      <w:bookmarkEnd w:id="0"/>
      <w:bookmarkEnd w:id="1"/>
      <w:r>
        <w:rPr>
          <w:rFonts w:hint="eastAsia" w:ascii="黑体" w:hAnsi="黑体" w:eastAsia="黑体" w:cs="黑体"/>
          <w:bCs/>
          <w:color w:val="000000"/>
          <w:sz w:val="32"/>
          <w:szCs w:val="32"/>
        </w:rPr>
        <w:t>指导思想、基本原则和主要目标</w:t>
      </w:r>
    </w:p>
    <w:p>
      <w:pPr>
        <w:widowControl w:val="0"/>
        <w:adjustRightInd/>
        <w:snapToGrid/>
        <w:spacing w:after="0" w:line="600" w:lineRule="exact"/>
        <w:ind w:firstLine="643" w:firstLineChars="200"/>
        <w:jc w:val="both"/>
        <w:rPr>
          <w:rFonts w:hint="eastAsia" w:ascii="楷体" w:hAnsi="楷体" w:eastAsia="楷体" w:cs="楷体"/>
          <w:b/>
          <w:bCs/>
          <w:color w:val="000000"/>
          <w:sz w:val="32"/>
          <w:szCs w:val="32"/>
        </w:rPr>
      </w:pPr>
      <w:r>
        <w:rPr>
          <w:rFonts w:hint="eastAsia" w:ascii="楷体" w:hAnsi="楷体" w:eastAsia="楷体" w:cs="楷体"/>
          <w:b/>
          <w:bCs/>
          <w:color w:val="000000"/>
          <w:sz w:val="32"/>
          <w:szCs w:val="32"/>
        </w:rPr>
        <w:t>（一）指导思想</w:t>
      </w:r>
    </w:p>
    <w:p>
      <w:pPr>
        <w:widowControl w:val="0"/>
        <w:spacing w:after="0" w:line="600" w:lineRule="exact"/>
        <w:ind w:firstLine="640" w:firstLineChars="200"/>
        <w:jc w:val="both"/>
        <w:rPr>
          <w:rFonts w:hint="eastAsia" w:ascii="仿宋" w:hAnsi="仿宋" w:eastAsia="仿宋" w:cs="仿宋"/>
          <w:color w:val="000000"/>
          <w:kern w:val="2"/>
          <w:sz w:val="32"/>
          <w:szCs w:val="32"/>
        </w:rPr>
      </w:pPr>
      <w:r>
        <w:rPr>
          <w:rFonts w:hint="eastAsia" w:ascii="仿宋" w:hAnsi="仿宋" w:eastAsia="仿宋" w:cs="仿宋"/>
          <w:color w:val="000000"/>
          <w:kern w:val="2"/>
          <w:sz w:val="32"/>
          <w:szCs w:val="32"/>
        </w:rPr>
        <w:t>“十四五”时期，全区消防救援事业发展坚持以党的十九大精神为指引，以习近平新时代中国特色社会主义思想为指导，全面贯彻落实习近平总书记关于应急管理、消防救援的重要论述和重要训词精神，统筹推进“五位一体”总体布局、协调推进“四个全面”战略布局，胸怀“两个大局”，做到“两个维护”，坚持“两个至上”，牢固树立安全发展理念，紧盯防范化解重大安全风险、应对处置各类灾害事故，着力抓重点、补短板、强弱项，进一步推动落实消防安全责任，防范化解消防安全风险，以规划引领消防救援事业发展，加快推进消防安全治理体系和治理能力现代化建设，全力维护全区消防安全形势持续平稳，为共绘新时代昌江改革发展新画卷提供更加可靠有力的安全保障。</w:t>
      </w:r>
    </w:p>
    <w:p>
      <w:pPr>
        <w:spacing w:after="0" w:line="600" w:lineRule="exact"/>
        <w:ind w:firstLine="643" w:firstLineChars="200"/>
        <w:jc w:val="both"/>
        <w:rPr>
          <w:rFonts w:hint="eastAsia" w:ascii="仿宋" w:hAnsi="仿宋" w:eastAsia="仿宋" w:cs="仿宋"/>
          <w:b/>
          <w:color w:val="000000"/>
          <w:kern w:val="2"/>
          <w:sz w:val="32"/>
          <w:szCs w:val="32"/>
        </w:rPr>
      </w:pPr>
      <w:r>
        <w:rPr>
          <w:rFonts w:hint="eastAsia" w:ascii="仿宋" w:hAnsi="仿宋" w:eastAsia="仿宋" w:cs="仿宋"/>
          <w:b/>
          <w:color w:val="000000"/>
          <w:kern w:val="2"/>
          <w:sz w:val="32"/>
          <w:szCs w:val="32"/>
        </w:rPr>
        <w:t>（二）基本原则</w:t>
      </w:r>
    </w:p>
    <w:p>
      <w:pPr>
        <w:spacing w:after="0" w:line="600" w:lineRule="exact"/>
        <w:ind w:firstLine="643" w:firstLineChars="200"/>
        <w:jc w:val="both"/>
        <w:rPr>
          <w:rFonts w:hint="eastAsia" w:ascii="仿宋" w:hAnsi="仿宋" w:eastAsia="仿宋" w:cs="仿宋"/>
          <w:color w:val="000000"/>
          <w:kern w:val="2"/>
          <w:sz w:val="32"/>
          <w:szCs w:val="32"/>
        </w:rPr>
      </w:pPr>
      <w:r>
        <w:rPr>
          <w:rFonts w:hint="eastAsia" w:ascii="仿宋" w:hAnsi="仿宋" w:eastAsia="仿宋" w:cs="仿宋"/>
          <w:b/>
          <w:bCs/>
          <w:color w:val="000000"/>
          <w:kern w:val="2"/>
          <w:sz w:val="32"/>
          <w:szCs w:val="32"/>
        </w:rPr>
        <w:t>坚持党的领导。</w:t>
      </w:r>
      <w:r>
        <w:rPr>
          <w:rFonts w:hint="eastAsia" w:ascii="仿宋" w:hAnsi="仿宋" w:eastAsia="仿宋" w:cs="仿宋"/>
          <w:color w:val="000000"/>
          <w:kern w:val="2"/>
          <w:sz w:val="32"/>
          <w:szCs w:val="32"/>
        </w:rPr>
        <w:t>忠实践行习近平总书记重要训词精神，坚持党对消防工作和消防救援队伍的绝对领导，发挥好党总览全局、协调各方的领导核心作用，加强前瞻性思考、全局性谋划、战略性布局、整体性推进，着力固根基、扬优势、补短板、强弱项，为消防治理体系和治理能力现代化建设凝聚力量、提供坚强政治保障。</w:t>
      </w:r>
    </w:p>
    <w:p>
      <w:pPr>
        <w:widowControl w:val="0"/>
        <w:spacing w:after="0" w:line="600" w:lineRule="exact"/>
        <w:ind w:firstLine="643" w:firstLineChars="200"/>
        <w:jc w:val="both"/>
        <w:rPr>
          <w:rFonts w:hint="eastAsia" w:ascii="仿宋" w:hAnsi="仿宋" w:eastAsia="仿宋" w:cs="仿宋"/>
          <w:color w:val="000000"/>
          <w:kern w:val="2"/>
          <w:sz w:val="32"/>
          <w:szCs w:val="32"/>
        </w:rPr>
      </w:pPr>
      <w:r>
        <w:rPr>
          <w:rFonts w:hint="eastAsia" w:ascii="仿宋" w:hAnsi="仿宋" w:eastAsia="仿宋" w:cs="仿宋"/>
          <w:b/>
          <w:bCs/>
          <w:color w:val="000000"/>
          <w:kern w:val="2"/>
          <w:sz w:val="32"/>
          <w:szCs w:val="32"/>
        </w:rPr>
        <w:t>坚持“两个至上”，着力保障人民群众生命财产安全。</w:t>
      </w:r>
      <w:r>
        <w:rPr>
          <w:rFonts w:hint="eastAsia" w:ascii="仿宋" w:hAnsi="仿宋" w:eastAsia="仿宋" w:cs="仿宋"/>
          <w:color w:val="000000"/>
          <w:kern w:val="2"/>
          <w:sz w:val="32"/>
          <w:szCs w:val="32"/>
        </w:rPr>
        <w:t>牢固树立以人民为中心发展理念，把保护人民群众生命安全作为首要目标，统筹好消防安全与发展、效益的关系，做到协调一致、齐头并进。</w:t>
      </w:r>
    </w:p>
    <w:p>
      <w:pPr>
        <w:widowControl w:val="0"/>
        <w:spacing w:after="0" w:line="600" w:lineRule="exact"/>
        <w:ind w:firstLine="643" w:firstLineChars="200"/>
        <w:jc w:val="both"/>
        <w:rPr>
          <w:rFonts w:hint="eastAsia" w:ascii="仿宋" w:hAnsi="仿宋" w:eastAsia="仿宋" w:cs="仿宋"/>
          <w:color w:val="000000"/>
          <w:kern w:val="2"/>
          <w:sz w:val="32"/>
          <w:szCs w:val="32"/>
        </w:rPr>
      </w:pPr>
      <w:r>
        <w:rPr>
          <w:rFonts w:hint="eastAsia" w:ascii="仿宋" w:hAnsi="仿宋" w:eastAsia="仿宋" w:cs="仿宋"/>
          <w:b/>
          <w:bCs/>
          <w:color w:val="000000"/>
          <w:kern w:val="2"/>
          <w:sz w:val="32"/>
          <w:szCs w:val="32"/>
        </w:rPr>
        <w:t>坚持改革创新，着力破解消防工作体制机制障碍。</w:t>
      </w:r>
      <w:r>
        <w:rPr>
          <w:rFonts w:hint="eastAsia" w:ascii="仿宋" w:hAnsi="仿宋" w:eastAsia="仿宋" w:cs="仿宋"/>
          <w:color w:val="000000"/>
          <w:kern w:val="2"/>
          <w:sz w:val="32"/>
          <w:szCs w:val="32"/>
        </w:rPr>
        <w:t>贯彻落实中央全面深化消防执法改革的决策部署，着力破解体制机制难题。健全落实消防安全责任制，完善消防领域法律法规和标准体系，加快消防工作的法治化、规范化、制度化步伐，持续深化消防执法改革，积极回应优化营商环境、保障经济高质量发展的新要求。</w:t>
      </w:r>
    </w:p>
    <w:p>
      <w:pPr>
        <w:spacing w:after="0" w:line="600" w:lineRule="exact"/>
        <w:ind w:firstLine="643" w:firstLineChars="200"/>
        <w:jc w:val="both"/>
        <w:rPr>
          <w:rFonts w:hint="eastAsia" w:ascii="仿宋" w:hAnsi="仿宋" w:eastAsia="仿宋" w:cs="仿宋"/>
          <w:color w:val="000000"/>
          <w:kern w:val="2"/>
          <w:sz w:val="32"/>
          <w:szCs w:val="32"/>
        </w:rPr>
      </w:pPr>
      <w:r>
        <w:rPr>
          <w:rFonts w:hint="eastAsia" w:ascii="仿宋" w:hAnsi="仿宋" w:eastAsia="仿宋" w:cs="仿宋"/>
          <w:b/>
          <w:bCs/>
          <w:color w:val="000000"/>
          <w:kern w:val="2"/>
          <w:sz w:val="32"/>
          <w:szCs w:val="32"/>
        </w:rPr>
        <w:t>坚持综合治理，着力优化公共消防安全环境。</w:t>
      </w:r>
      <w:r>
        <w:rPr>
          <w:rFonts w:hint="eastAsia" w:ascii="仿宋" w:hAnsi="仿宋" w:eastAsia="仿宋" w:cs="仿宋"/>
          <w:color w:val="000000"/>
          <w:kern w:val="2"/>
          <w:sz w:val="32"/>
          <w:szCs w:val="32"/>
        </w:rPr>
        <w:t>围绕防范化解重大消防安全风险，推进消防治理体系和治理能力现代化建设，健全消防安全风险防范化解机制，综合运用人防、物防、技防等防范措施，提升消防安全治理水平，筑牢火灾防控防线。</w:t>
      </w:r>
    </w:p>
    <w:p>
      <w:pPr>
        <w:spacing w:after="0" w:line="600" w:lineRule="exact"/>
        <w:ind w:firstLine="643" w:firstLineChars="200"/>
        <w:jc w:val="both"/>
        <w:rPr>
          <w:rFonts w:hint="eastAsia" w:ascii="仿宋" w:hAnsi="仿宋" w:eastAsia="仿宋" w:cs="仿宋"/>
          <w:color w:val="000000"/>
          <w:kern w:val="2"/>
          <w:sz w:val="32"/>
          <w:szCs w:val="32"/>
        </w:rPr>
      </w:pPr>
      <w:r>
        <w:rPr>
          <w:rFonts w:hint="eastAsia" w:ascii="仿宋" w:hAnsi="仿宋" w:eastAsia="仿宋" w:cs="仿宋"/>
          <w:b/>
          <w:bCs/>
          <w:color w:val="000000"/>
          <w:kern w:val="2"/>
          <w:sz w:val="32"/>
          <w:szCs w:val="32"/>
        </w:rPr>
        <w:t>坚持科技支撑，着力提升火灾防控能力。</w:t>
      </w:r>
      <w:r>
        <w:rPr>
          <w:rFonts w:hint="eastAsia" w:ascii="仿宋" w:hAnsi="仿宋" w:eastAsia="仿宋" w:cs="仿宋"/>
          <w:color w:val="000000"/>
          <w:kern w:val="2"/>
          <w:sz w:val="32"/>
          <w:szCs w:val="32"/>
        </w:rPr>
        <w:t xml:space="preserve">突出数字化引领工作变革、业务流程再造、助推转型发展，推动消防救援科技创新，提高消防工作科学化、专业化、智能化、精细化水平。推动消防装备、应急通信、战勤保障转型升级，深度融合现代化科技、信息化技术，将“智慧消防”纳入昌江“智慧城市”建设总体布局，向科技要战斗力。    </w:t>
      </w:r>
    </w:p>
    <w:p>
      <w:pPr>
        <w:spacing w:after="0" w:line="600" w:lineRule="exact"/>
        <w:ind w:firstLine="643" w:firstLineChars="200"/>
        <w:jc w:val="both"/>
        <w:rPr>
          <w:rFonts w:hint="eastAsia" w:ascii="楷体" w:hAnsi="楷体" w:eastAsia="楷体" w:cs="楷体"/>
          <w:b/>
          <w:color w:val="000000"/>
          <w:kern w:val="2"/>
          <w:sz w:val="32"/>
          <w:szCs w:val="32"/>
        </w:rPr>
      </w:pPr>
      <w:r>
        <w:rPr>
          <w:rFonts w:hint="eastAsia" w:ascii="楷体" w:hAnsi="楷体" w:eastAsia="楷体" w:cs="楷体"/>
          <w:b/>
          <w:color w:val="000000"/>
          <w:kern w:val="2"/>
          <w:sz w:val="32"/>
          <w:szCs w:val="32"/>
        </w:rPr>
        <w:t>（三）发展目标</w:t>
      </w:r>
    </w:p>
    <w:p>
      <w:pPr>
        <w:widowControl w:val="0"/>
        <w:spacing w:after="0" w:line="600" w:lineRule="exact"/>
        <w:ind w:firstLine="640" w:firstLineChars="200"/>
        <w:jc w:val="both"/>
        <w:rPr>
          <w:rFonts w:hint="eastAsia" w:ascii="仿宋" w:hAnsi="仿宋" w:eastAsia="仿宋" w:cs="仿宋"/>
          <w:color w:val="000000"/>
          <w:kern w:val="2"/>
          <w:sz w:val="32"/>
          <w:szCs w:val="32"/>
        </w:rPr>
      </w:pPr>
      <w:r>
        <w:rPr>
          <w:rFonts w:hint="eastAsia" w:ascii="仿宋" w:hAnsi="仿宋" w:eastAsia="仿宋" w:cs="仿宋"/>
          <w:color w:val="000000"/>
          <w:kern w:val="2"/>
          <w:sz w:val="32"/>
          <w:szCs w:val="32"/>
        </w:rPr>
        <w:t>“十四五”时期，我区消防救援事业要紧贴高质量跨越式发展要求，加快构建与昌江经济社会发展水平相匹配、相适应的公共消防安全体系。</w:t>
      </w:r>
    </w:p>
    <w:p>
      <w:pPr>
        <w:widowControl w:val="0"/>
        <w:spacing w:after="0" w:line="600" w:lineRule="exact"/>
        <w:ind w:firstLine="643" w:firstLineChars="200"/>
        <w:jc w:val="both"/>
        <w:rPr>
          <w:rFonts w:hint="eastAsia" w:ascii="仿宋" w:hAnsi="仿宋" w:eastAsia="仿宋" w:cs="仿宋"/>
          <w:color w:val="000000"/>
          <w:kern w:val="2"/>
          <w:sz w:val="32"/>
          <w:szCs w:val="32"/>
        </w:rPr>
      </w:pPr>
      <w:r>
        <w:rPr>
          <w:rFonts w:hint="eastAsia" w:ascii="仿宋" w:hAnsi="仿宋" w:eastAsia="仿宋" w:cs="仿宋"/>
          <w:b/>
          <w:color w:val="000000"/>
          <w:kern w:val="2"/>
          <w:sz w:val="32"/>
          <w:szCs w:val="32"/>
        </w:rPr>
        <w:t>——消防安全形势更加平稳。</w:t>
      </w:r>
      <w:r>
        <w:rPr>
          <w:rFonts w:hint="eastAsia" w:ascii="仿宋" w:hAnsi="仿宋" w:eastAsia="仿宋" w:cs="仿宋"/>
          <w:color w:val="000000"/>
          <w:kern w:val="2"/>
          <w:sz w:val="32"/>
          <w:szCs w:val="32"/>
        </w:rPr>
        <w:t>杜绝重特大火灾，防范较大火灾，减少亡人火灾，消防安全形势持续稳定向好，社会消防安全工作满意度明显提升，人民群众的安全感显著增强。</w:t>
      </w:r>
    </w:p>
    <w:p>
      <w:pPr>
        <w:widowControl w:val="0"/>
        <w:spacing w:after="0" w:line="600" w:lineRule="exact"/>
        <w:ind w:firstLine="643" w:firstLineChars="200"/>
        <w:jc w:val="both"/>
        <w:rPr>
          <w:rFonts w:hint="eastAsia" w:ascii="仿宋" w:hAnsi="仿宋" w:eastAsia="仿宋" w:cs="仿宋"/>
          <w:color w:val="000000"/>
          <w:kern w:val="2"/>
          <w:sz w:val="32"/>
          <w:szCs w:val="32"/>
        </w:rPr>
      </w:pPr>
      <w:r>
        <w:rPr>
          <w:rFonts w:hint="eastAsia" w:ascii="仿宋" w:hAnsi="仿宋" w:eastAsia="仿宋" w:cs="仿宋"/>
          <w:b/>
          <w:color w:val="000000"/>
          <w:kern w:val="2"/>
          <w:sz w:val="32"/>
          <w:szCs w:val="32"/>
        </w:rPr>
        <w:t>——</w:t>
      </w:r>
      <w:r>
        <w:rPr>
          <w:rFonts w:hint="eastAsia" w:ascii="仿宋" w:hAnsi="仿宋" w:eastAsia="仿宋" w:cs="仿宋"/>
          <w:b/>
          <w:bCs/>
          <w:color w:val="000000"/>
          <w:kern w:val="2"/>
          <w:sz w:val="32"/>
          <w:szCs w:val="32"/>
        </w:rPr>
        <w:t>消防安全责任更加健全。</w:t>
      </w:r>
      <w:r>
        <w:rPr>
          <w:rFonts w:hint="eastAsia" w:ascii="仿宋" w:hAnsi="仿宋" w:eastAsia="仿宋" w:cs="仿宋"/>
          <w:color w:val="000000"/>
          <w:kern w:val="2"/>
          <w:sz w:val="32"/>
          <w:szCs w:val="32"/>
        </w:rPr>
        <w:t>消防安全责任制落实到位，政府加强对消防工作统筹领导，行业主管部门和行政执法监管部门依法开展消防工作，消防安全重点管控强化落实，单位消防安全管理规范有序。</w:t>
      </w:r>
    </w:p>
    <w:p>
      <w:pPr>
        <w:adjustRightInd/>
        <w:snapToGrid/>
        <w:spacing w:after="0" w:line="600" w:lineRule="exact"/>
        <w:ind w:firstLine="643" w:firstLineChars="200"/>
        <w:jc w:val="both"/>
        <w:rPr>
          <w:rFonts w:hint="eastAsia" w:ascii="仿宋" w:hAnsi="仿宋" w:eastAsia="仿宋" w:cs="仿宋"/>
          <w:color w:val="000000"/>
          <w:kern w:val="2"/>
          <w:sz w:val="32"/>
          <w:szCs w:val="32"/>
        </w:rPr>
      </w:pPr>
      <w:r>
        <w:rPr>
          <w:rFonts w:hint="eastAsia" w:ascii="仿宋" w:hAnsi="仿宋" w:eastAsia="仿宋" w:cs="仿宋"/>
          <w:b/>
          <w:color w:val="000000"/>
          <w:kern w:val="2"/>
          <w:sz w:val="32"/>
          <w:szCs w:val="32"/>
        </w:rPr>
        <w:t>——消防安全基础更加牢固。</w:t>
      </w:r>
      <w:r>
        <w:rPr>
          <w:rFonts w:hint="eastAsia" w:ascii="仿宋" w:hAnsi="仿宋" w:eastAsia="仿宋" w:cs="仿宋"/>
          <w:color w:val="000000"/>
          <w:kern w:val="2"/>
          <w:sz w:val="32"/>
          <w:szCs w:val="32"/>
        </w:rPr>
        <w:t>消防经费保障有力，城镇消防规划编制实施规范有序，公共消防设施达标完善，战勤保障满足需要，城乡抗御火灾风险能力显著增强，公共消防服务均等化基本实现。</w:t>
      </w:r>
    </w:p>
    <w:p>
      <w:pPr>
        <w:adjustRightInd/>
        <w:snapToGrid/>
        <w:spacing w:after="0" w:line="600" w:lineRule="exact"/>
        <w:ind w:firstLine="643" w:firstLineChars="200"/>
        <w:jc w:val="both"/>
        <w:rPr>
          <w:rFonts w:hint="eastAsia" w:ascii="仿宋" w:hAnsi="仿宋" w:eastAsia="仿宋" w:cs="仿宋"/>
          <w:color w:val="000000"/>
          <w:kern w:val="2"/>
          <w:sz w:val="32"/>
          <w:szCs w:val="32"/>
        </w:rPr>
      </w:pPr>
      <w:r>
        <w:rPr>
          <w:rFonts w:hint="eastAsia" w:ascii="仿宋" w:hAnsi="仿宋" w:eastAsia="仿宋" w:cs="仿宋"/>
          <w:b/>
          <w:color w:val="000000"/>
          <w:kern w:val="2"/>
          <w:sz w:val="32"/>
          <w:szCs w:val="32"/>
        </w:rPr>
        <w:t>——</w:t>
      </w:r>
      <w:r>
        <w:rPr>
          <w:rFonts w:hint="eastAsia" w:ascii="仿宋" w:hAnsi="仿宋" w:eastAsia="仿宋" w:cs="仿宋"/>
          <w:b/>
          <w:bCs/>
          <w:color w:val="000000"/>
          <w:kern w:val="2"/>
          <w:sz w:val="32"/>
          <w:szCs w:val="32"/>
        </w:rPr>
        <w:t>综合应急救援能力显著提升。</w:t>
      </w:r>
      <w:r>
        <w:rPr>
          <w:rFonts w:hint="eastAsia" w:ascii="仿宋" w:hAnsi="仿宋" w:eastAsia="仿宋" w:cs="仿宋"/>
          <w:color w:val="000000"/>
          <w:kern w:val="2"/>
          <w:sz w:val="32"/>
          <w:szCs w:val="32"/>
        </w:rPr>
        <w:t>“全灾种、大应急”的机制能力有效形成，应急救援主力军和国家队作用日益凸显。建强水域、山岳专业救援，全面提升应对复杂灾情的应急救援能力。持续深化社会联动机制建设，多种形式消防队伍全面覆盖，民间救援力量协作机制高效运作。</w:t>
      </w:r>
    </w:p>
    <w:p>
      <w:pPr>
        <w:adjustRightInd/>
        <w:snapToGrid/>
        <w:spacing w:after="0" w:line="600" w:lineRule="exact"/>
        <w:ind w:firstLine="643" w:firstLineChars="200"/>
        <w:jc w:val="both"/>
        <w:rPr>
          <w:rFonts w:hint="eastAsia" w:ascii="仿宋" w:hAnsi="仿宋" w:eastAsia="仿宋" w:cs="仿宋"/>
          <w:color w:val="000000"/>
          <w:kern w:val="2"/>
          <w:sz w:val="32"/>
          <w:szCs w:val="32"/>
        </w:rPr>
      </w:pPr>
      <w:r>
        <w:rPr>
          <w:rFonts w:hint="eastAsia" w:ascii="仿宋" w:hAnsi="仿宋" w:eastAsia="仿宋" w:cs="仿宋"/>
          <w:b/>
          <w:color w:val="000000"/>
          <w:kern w:val="2"/>
          <w:sz w:val="32"/>
          <w:szCs w:val="32"/>
        </w:rPr>
        <w:t>——</w:t>
      </w:r>
      <w:r>
        <w:rPr>
          <w:rFonts w:hint="eastAsia" w:ascii="仿宋" w:hAnsi="仿宋" w:eastAsia="仿宋" w:cs="仿宋"/>
          <w:b/>
          <w:bCs/>
          <w:color w:val="000000"/>
          <w:kern w:val="2"/>
          <w:sz w:val="32"/>
          <w:szCs w:val="32"/>
        </w:rPr>
        <w:t>消防安全软环境更加优化。</w:t>
      </w:r>
      <w:r>
        <w:rPr>
          <w:rFonts w:hint="eastAsia" w:ascii="仿宋" w:hAnsi="仿宋" w:eastAsia="仿宋" w:cs="仿宋"/>
          <w:color w:val="000000"/>
          <w:kern w:val="2"/>
          <w:sz w:val="32"/>
          <w:szCs w:val="32"/>
        </w:rPr>
        <w:t>发挥乡镇街道消防志愿服务队伍作用，丰富消防安全宣传教育形式和手段。进一步提升群众消防安全意识，发现消除火灾隐患、扑救初起火灾和逃生自救互救能力明显增强，人为因素引起的火灾事故明显减少，公众消防安全常识知晓率持续提升。</w:t>
      </w:r>
    </w:p>
    <w:p>
      <w:pPr>
        <w:widowControl w:val="0"/>
        <w:spacing w:after="0" w:line="600" w:lineRule="exact"/>
        <w:ind w:firstLine="643" w:firstLineChars="200"/>
        <w:jc w:val="both"/>
        <w:rPr>
          <w:rFonts w:hint="eastAsia" w:ascii="仿宋" w:hAnsi="仿宋" w:eastAsia="仿宋" w:cs="仿宋"/>
          <w:color w:val="000000"/>
          <w:sz w:val="32"/>
          <w:szCs w:val="32"/>
        </w:rPr>
      </w:pPr>
      <w:r>
        <w:rPr>
          <w:rFonts w:hint="eastAsia" w:ascii="仿宋" w:hAnsi="仿宋" w:eastAsia="仿宋" w:cs="仿宋"/>
          <w:b/>
          <w:color w:val="000000"/>
          <w:sz w:val="32"/>
          <w:szCs w:val="32"/>
        </w:rPr>
        <w:t>——消防科技支撑更加有力。</w:t>
      </w:r>
      <w:r>
        <w:rPr>
          <w:rFonts w:hint="eastAsia" w:ascii="仿宋" w:hAnsi="仿宋" w:eastAsia="仿宋" w:cs="仿宋"/>
          <w:color w:val="000000"/>
          <w:sz w:val="32"/>
          <w:szCs w:val="32"/>
        </w:rPr>
        <w:t>“智慧消防”全面建成，大数据、物联网、5G 等先进信息技术在火灾防控、作战指挥、队伍管理、物资装备、公众服务系统等消防领域深度应用，开放高效的消防科技创新体系基本建成，全面形成“火灾防控多元共治、应急救援科学智能、队伍管理正规精细、公众服务普惠便捷和应急通信融通可靠”的消防信息化新格局。</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3"/>
        <w:gridCol w:w="3643"/>
        <w:gridCol w:w="1582"/>
        <w:gridCol w:w="1543"/>
        <w:gridCol w:w="1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0" w:type="auto"/>
            <w:gridSpan w:val="5"/>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jc w:val="center"/>
              <w:rPr>
                <w:rFonts w:hint="eastAsia" w:ascii="仿宋" w:hAnsi="仿宋" w:eastAsia="仿宋" w:cs="仿宋"/>
                <w:b/>
                <w:bCs w:val="0"/>
                <w:sz w:val="32"/>
                <w:szCs w:val="32"/>
                <w:lang w:val="zh-CN"/>
              </w:rPr>
            </w:pPr>
            <w:r>
              <w:rPr>
                <w:rFonts w:hint="eastAsia" w:ascii="仿宋" w:hAnsi="仿宋" w:eastAsia="仿宋" w:cs="仿宋"/>
                <w:b/>
                <w:bCs w:val="0"/>
                <w:sz w:val="32"/>
                <w:szCs w:val="32"/>
                <w:lang w:val="zh-CN"/>
              </w:rPr>
              <w:t>“十四五”时期全区消防事业发展主要指标</w:t>
            </w:r>
          </w:p>
          <w:p>
            <w:pPr>
              <w:autoSpaceDE w:val="0"/>
              <w:autoSpaceDN w:val="0"/>
              <w:spacing w:line="600" w:lineRule="exact"/>
              <w:ind w:firstLine="643" w:firstLineChars="200"/>
              <w:jc w:val="center"/>
              <w:rPr>
                <w:rFonts w:hint="eastAsia" w:ascii="仿宋" w:hAnsi="仿宋" w:eastAsia="仿宋" w:cs="仿宋"/>
                <w:b/>
                <w:bCs w:val="0"/>
                <w:sz w:val="32"/>
                <w:szCs w:val="32"/>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6"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jc w:val="center"/>
              <w:rPr>
                <w:rFonts w:hint="eastAsia" w:ascii="仿宋" w:hAnsi="仿宋" w:eastAsia="仿宋" w:cs="仿宋"/>
                <w:bCs/>
                <w:sz w:val="24"/>
                <w:szCs w:val="24"/>
                <w:lang w:val="zh-CN"/>
              </w:rPr>
            </w:pPr>
            <w:r>
              <w:rPr>
                <w:rFonts w:hint="eastAsia" w:ascii="仿宋" w:hAnsi="仿宋" w:eastAsia="仿宋" w:cs="仿宋"/>
                <w:bCs/>
                <w:sz w:val="24"/>
                <w:szCs w:val="24"/>
                <w:lang w:val="zh-CN"/>
              </w:rPr>
              <w:t>序号</w:t>
            </w:r>
          </w:p>
        </w:tc>
        <w:tc>
          <w:tcPr>
            <w:tcW w:w="4035"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jc w:val="center"/>
              <w:rPr>
                <w:rFonts w:hint="eastAsia" w:ascii="仿宋" w:hAnsi="仿宋" w:eastAsia="仿宋" w:cs="仿宋"/>
                <w:bCs/>
                <w:sz w:val="24"/>
                <w:szCs w:val="24"/>
                <w:lang w:val="zh-CN"/>
              </w:rPr>
            </w:pPr>
            <w:r>
              <w:rPr>
                <w:rFonts w:hint="eastAsia" w:ascii="仿宋" w:hAnsi="仿宋" w:eastAsia="仿宋" w:cs="仿宋"/>
                <w:bCs/>
                <w:sz w:val="24"/>
                <w:szCs w:val="24"/>
                <w:lang w:val="zh-CN"/>
              </w:rPr>
              <w:t>主要指标</w:t>
            </w:r>
          </w:p>
        </w:tc>
        <w:tc>
          <w:tcPr>
            <w:tcW w:w="1710"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jc w:val="center"/>
              <w:rPr>
                <w:rFonts w:hint="eastAsia" w:ascii="仿宋" w:hAnsi="仿宋" w:eastAsia="仿宋" w:cs="仿宋"/>
                <w:bCs/>
                <w:sz w:val="24"/>
                <w:szCs w:val="24"/>
                <w:lang w:val="zh-CN"/>
              </w:rPr>
            </w:pPr>
            <w:r>
              <w:rPr>
                <w:rFonts w:hint="eastAsia" w:ascii="仿宋" w:hAnsi="仿宋" w:eastAsia="仿宋" w:cs="仿宋"/>
                <w:bCs/>
                <w:sz w:val="24"/>
                <w:szCs w:val="24"/>
                <w:lang w:val="zh-CN"/>
              </w:rPr>
              <w:t>20</w:t>
            </w:r>
            <w:r>
              <w:rPr>
                <w:rFonts w:hint="eastAsia" w:ascii="仿宋" w:hAnsi="仿宋" w:eastAsia="仿宋" w:cs="仿宋"/>
                <w:bCs/>
                <w:sz w:val="24"/>
                <w:szCs w:val="24"/>
              </w:rPr>
              <w:t>20</w:t>
            </w:r>
            <w:r>
              <w:rPr>
                <w:rFonts w:hint="eastAsia" w:ascii="仿宋" w:hAnsi="仿宋" w:eastAsia="仿宋" w:cs="仿宋"/>
                <w:bCs/>
                <w:sz w:val="24"/>
                <w:szCs w:val="24"/>
                <w:lang w:val="zh-CN"/>
              </w:rPr>
              <w:t>年</w:t>
            </w:r>
          </w:p>
        </w:tc>
        <w:tc>
          <w:tcPr>
            <w:tcW w:w="1665"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jc w:val="center"/>
              <w:rPr>
                <w:rFonts w:hint="eastAsia" w:ascii="仿宋" w:hAnsi="仿宋" w:eastAsia="仿宋" w:cs="仿宋"/>
                <w:bCs/>
                <w:sz w:val="24"/>
                <w:szCs w:val="24"/>
                <w:lang w:val="zh-CN"/>
              </w:rPr>
            </w:pPr>
            <w:r>
              <w:rPr>
                <w:rFonts w:hint="eastAsia" w:ascii="仿宋" w:hAnsi="仿宋" w:eastAsia="仿宋" w:cs="仿宋"/>
                <w:bCs/>
                <w:sz w:val="24"/>
                <w:szCs w:val="24"/>
                <w:lang w:val="zh-CN"/>
              </w:rPr>
              <w:t>20</w:t>
            </w:r>
            <w:r>
              <w:rPr>
                <w:rFonts w:hint="eastAsia" w:ascii="仿宋" w:hAnsi="仿宋" w:eastAsia="仿宋" w:cs="仿宋"/>
                <w:bCs/>
                <w:sz w:val="24"/>
                <w:szCs w:val="24"/>
              </w:rPr>
              <w:t>25</w:t>
            </w:r>
            <w:r>
              <w:rPr>
                <w:rFonts w:hint="eastAsia" w:ascii="仿宋" w:hAnsi="仿宋" w:eastAsia="仿宋" w:cs="仿宋"/>
                <w:bCs/>
                <w:sz w:val="24"/>
                <w:szCs w:val="24"/>
                <w:lang w:val="zh-CN"/>
              </w:rPr>
              <w:t>年</w:t>
            </w:r>
          </w:p>
        </w:tc>
        <w:tc>
          <w:tcPr>
            <w:tcW w:w="1080"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jc w:val="center"/>
              <w:rPr>
                <w:rFonts w:hint="eastAsia" w:ascii="仿宋" w:hAnsi="仿宋" w:eastAsia="仿宋" w:cs="仿宋"/>
                <w:b/>
                <w:bCs/>
                <w:sz w:val="24"/>
                <w:szCs w:val="24"/>
                <w:lang w:val="zh-CN"/>
              </w:rPr>
            </w:pPr>
            <w:r>
              <w:rPr>
                <w:rFonts w:hint="eastAsia" w:ascii="仿宋" w:hAnsi="仿宋" w:eastAsia="仿宋" w:cs="仿宋"/>
                <w:bCs/>
                <w:sz w:val="24"/>
                <w:szCs w:val="24"/>
                <w:lang w:val="zh-CN"/>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6"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600" w:lineRule="exact"/>
              <w:jc w:val="center"/>
              <w:rPr>
                <w:rFonts w:hint="eastAsia" w:ascii="仿宋" w:hAnsi="仿宋" w:eastAsia="仿宋" w:cs="仿宋"/>
                <w:kern w:val="2"/>
                <w:sz w:val="24"/>
                <w:szCs w:val="24"/>
              </w:rPr>
            </w:pPr>
            <w:r>
              <w:rPr>
                <w:rFonts w:hint="eastAsia" w:ascii="仿宋" w:hAnsi="仿宋" w:eastAsia="仿宋" w:cs="仿宋"/>
                <w:kern w:val="2"/>
                <w:sz w:val="24"/>
                <w:szCs w:val="24"/>
              </w:rPr>
              <w:t>1</w:t>
            </w:r>
          </w:p>
        </w:tc>
        <w:tc>
          <w:tcPr>
            <w:tcW w:w="4035"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400" w:lineRule="exact"/>
              <w:rPr>
                <w:rFonts w:hint="eastAsia" w:ascii="仿宋" w:hAnsi="仿宋" w:eastAsia="仿宋" w:cs="仿宋"/>
                <w:kern w:val="2"/>
                <w:sz w:val="24"/>
                <w:szCs w:val="24"/>
              </w:rPr>
            </w:pPr>
            <w:r>
              <w:rPr>
                <w:rFonts w:hint="eastAsia" w:ascii="仿宋" w:hAnsi="仿宋" w:eastAsia="仿宋" w:cs="仿宋"/>
                <w:kern w:val="2"/>
                <w:sz w:val="24"/>
                <w:szCs w:val="24"/>
              </w:rPr>
              <w:t>城市消防站数量（个）</w:t>
            </w:r>
          </w:p>
        </w:tc>
        <w:tc>
          <w:tcPr>
            <w:tcW w:w="1710"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jc w:val="center"/>
              <w:rPr>
                <w:rFonts w:hint="eastAsia" w:ascii="仿宋" w:hAnsi="仿宋" w:eastAsia="仿宋" w:cs="仿宋"/>
                <w:kern w:val="2"/>
                <w:sz w:val="24"/>
                <w:szCs w:val="24"/>
              </w:rPr>
            </w:pPr>
            <w:r>
              <w:rPr>
                <w:rFonts w:hint="eastAsia" w:ascii="仿宋" w:hAnsi="仿宋" w:eastAsia="仿宋" w:cs="仿宋"/>
                <w:kern w:val="2"/>
                <w:sz w:val="24"/>
                <w:szCs w:val="24"/>
              </w:rPr>
              <w:t>1</w:t>
            </w:r>
          </w:p>
        </w:tc>
        <w:tc>
          <w:tcPr>
            <w:tcW w:w="1665"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jc w:val="center"/>
              <w:rPr>
                <w:rFonts w:hint="eastAsia" w:ascii="仿宋" w:hAnsi="仿宋" w:eastAsia="仿宋" w:cs="仿宋"/>
                <w:kern w:val="2"/>
                <w:sz w:val="24"/>
                <w:szCs w:val="24"/>
              </w:rPr>
            </w:pPr>
            <w:r>
              <w:rPr>
                <w:rFonts w:hint="eastAsia" w:ascii="仿宋" w:hAnsi="仿宋" w:eastAsia="仿宋" w:cs="仿宋"/>
                <w:kern w:val="2"/>
                <w:sz w:val="24"/>
                <w:szCs w:val="24"/>
              </w:rPr>
              <w:t xml:space="preserve"> 2</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jc w:val="center"/>
              <w:rPr>
                <w:rFonts w:hint="eastAsia" w:ascii="仿宋" w:hAnsi="仿宋" w:eastAsia="仿宋" w:cs="仿宋"/>
                <w:kern w:val="2"/>
                <w:sz w:val="24"/>
                <w:szCs w:val="24"/>
              </w:rPr>
            </w:pPr>
            <w:r>
              <w:rPr>
                <w:rFonts w:hint="eastAsia" w:ascii="仿宋" w:hAnsi="仿宋" w:eastAsia="仿宋" w:cs="仿宋"/>
                <w:kern w:val="2"/>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6"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600" w:lineRule="exact"/>
              <w:jc w:val="center"/>
              <w:rPr>
                <w:rFonts w:hint="eastAsia" w:ascii="仿宋" w:hAnsi="仿宋" w:eastAsia="仿宋" w:cs="仿宋"/>
                <w:kern w:val="2"/>
                <w:sz w:val="24"/>
                <w:szCs w:val="24"/>
              </w:rPr>
            </w:pPr>
            <w:r>
              <w:rPr>
                <w:rFonts w:hint="eastAsia" w:ascii="仿宋" w:hAnsi="仿宋" w:eastAsia="仿宋" w:cs="仿宋"/>
                <w:kern w:val="2"/>
                <w:sz w:val="24"/>
                <w:szCs w:val="24"/>
              </w:rPr>
              <w:t>2</w:t>
            </w:r>
          </w:p>
        </w:tc>
        <w:tc>
          <w:tcPr>
            <w:tcW w:w="4035"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400" w:lineRule="exact"/>
              <w:rPr>
                <w:rFonts w:hint="eastAsia" w:ascii="仿宋" w:hAnsi="仿宋" w:eastAsia="仿宋" w:cs="仿宋"/>
                <w:kern w:val="2"/>
                <w:sz w:val="24"/>
                <w:szCs w:val="24"/>
              </w:rPr>
            </w:pPr>
            <w:r>
              <w:rPr>
                <w:rFonts w:hint="eastAsia" w:ascii="仿宋" w:hAnsi="仿宋" w:eastAsia="仿宋" w:cs="仿宋"/>
                <w:kern w:val="2"/>
                <w:sz w:val="24"/>
                <w:szCs w:val="24"/>
              </w:rPr>
              <w:t>城市消火栓数量（个）</w:t>
            </w:r>
          </w:p>
        </w:tc>
        <w:tc>
          <w:tcPr>
            <w:tcW w:w="1710"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400" w:lineRule="exact"/>
              <w:jc w:val="center"/>
              <w:rPr>
                <w:rFonts w:hint="eastAsia" w:ascii="仿宋" w:hAnsi="仿宋" w:eastAsia="仿宋" w:cs="仿宋"/>
                <w:kern w:val="2"/>
                <w:sz w:val="24"/>
                <w:szCs w:val="24"/>
              </w:rPr>
            </w:pPr>
            <w:r>
              <w:rPr>
                <w:rFonts w:hint="eastAsia" w:ascii="仿宋" w:hAnsi="仿宋" w:eastAsia="仿宋" w:cs="仿宋"/>
                <w:kern w:val="2"/>
                <w:sz w:val="24"/>
                <w:szCs w:val="24"/>
              </w:rPr>
              <w:t>201</w:t>
            </w:r>
          </w:p>
        </w:tc>
        <w:tc>
          <w:tcPr>
            <w:tcW w:w="1665"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400" w:lineRule="exact"/>
              <w:jc w:val="center"/>
              <w:rPr>
                <w:rFonts w:hint="eastAsia" w:ascii="仿宋" w:hAnsi="仿宋" w:eastAsia="仿宋" w:cs="仿宋"/>
                <w:kern w:val="2"/>
                <w:sz w:val="24"/>
                <w:szCs w:val="24"/>
              </w:rPr>
            </w:pPr>
            <w:r>
              <w:rPr>
                <w:rFonts w:hint="eastAsia" w:ascii="仿宋" w:hAnsi="仿宋" w:eastAsia="仿宋" w:cs="仿宋"/>
                <w:kern w:val="2"/>
                <w:sz w:val="24"/>
                <w:szCs w:val="24"/>
              </w:rPr>
              <w:t>1055</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400" w:lineRule="exact"/>
              <w:jc w:val="center"/>
              <w:rPr>
                <w:rFonts w:hint="eastAsia" w:ascii="仿宋" w:hAnsi="仿宋" w:eastAsia="仿宋" w:cs="仿宋"/>
                <w:kern w:val="2"/>
                <w:sz w:val="24"/>
                <w:szCs w:val="24"/>
              </w:rPr>
            </w:pPr>
            <w:r>
              <w:rPr>
                <w:rFonts w:hint="eastAsia" w:ascii="仿宋" w:hAnsi="仿宋" w:eastAsia="仿宋" w:cs="仿宋"/>
                <w:kern w:val="2"/>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6"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600" w:lineRule="exact"/>
              <w:jc w:val="center"/>
              <w:rPr>
                <w:rFonts w:hint="eastAsia" w:ascii="仿宋" w:hAnsi="仿宋" w:eastAsia="仿宋" w:cs="仿宋"/>
                <w:kern w:val="2"/>
                <w:sz w:val="24"/>
                <w:szCs w:val="24"/>
              </w:rPr>
            </w:pPr>
            <w:r>
              <w:rPr>
                <w:rFonts w:hint="eastAsia" w:ascii="仿宋" w:hAnsi="仿宋" w:eastAsia="仿宋" w:cs="仿宋"/>
                <w:kern w:val="2"/>
                <w:sz w:val="24"/>
                <w:szCs w:val="24"/>
              </w:rPr>
              <w:t>3</w:t>
            </w:r>
          </w:p>
        </w:tc>
        <w:tc>
          <w:tcPr>
            <w:tcW w:w="4035"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400" w:lineRule="exact"/>
              <w:rPr>
                <w:rFonts w:hint="eastAsia" w:ascii="仿宋" w:hAnsi="仿宋" w:eastAsia="仿宋" w:cs="仿宋"/>
                <w:kern w:val="2"/>
                <w:sz w:val="24"/>
                <w:szCs w:val="24"/>
              </w:rPr>
            </w:pPr>
            <w:r>
              <w:rPr>
                <w:rFonts w:hint="eastAsia" w:ascii="仿宋" w:hAnsi="仿宋" w:eastAsia="仿宋" w:cs="仿宋"/>
                <w:kern w:val="2"/>
                <w:sz w:val="24"/>
                <w:szCs w:val="24"/>
              </w:rPr>
              <w:t>消防车辆数量（辆）</w:t>
            </w:r>
          </w:p>
        </w:tc>
        <w:tc>
          <w:tcPr>
            <w:tcW w:w="1710"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jc w:val="center"/>
              <w:rPr>
                <w:rFonts w:hint="eastAsia" w:ascii="仿宋" w:hAnsi="仿宋" w:eastAsia="仿宋" w:cs="仿宋"/>
                <w:kern w:val="2"/>
                <w:sz w:val="24"/>
                <w:szCs w:val="24"/>
              </w:rPr>
            </w:pPr>
            <w:r>
              <w:rPr>
                <w:rFonts w:hint="eastAsia" w:ascii="仿宋" w:hAnsi="仿宋" w:eastAsia="仿宋" w:cs="仿宋"/>
                <w:kern w:val="2"/>
                <w:sz w:val="24"/>
                <w:szCs w:val="24"/>
              </w:rPr>
              <w:t>2</w:t>
            </w:r>
          </w:p>
        </w:tc>
        <w:tc>
          <w:tcPr>
            <w:tcW w:w="1665"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jc w:val="center"/>
              <w:rPr>
                <w:rFonts w:hint="eastAsia" w:ascii="仿宋" w:hAnsi="仿宋" w:eastAsia="仿宋" w:cs="仿宋"/>
                <w:kern w:val="2"/>
                <w:sz w:val="24"/>
                <w:szCs w:val="24"/>
              </w:rPr>
            </w:pPr>
            <w:r>
              <w:rPr>
                <w:rFonts w:hint="eastAsia" w:ascii="仿宋" w:hAnsi="仿宋" w:eastAsia="仿宋" w:cs="仿宋"/>
                <w:kern w:val="2"/>
                <w:sz w:val="24"/>
                <w:szCs w:val="24"/>
              </w:rPr>
              <w:t>5</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jc w:val="center"/>
              <w:rPr>
                <w:rFonts w:hint="eastAsia" w:ascii="仿宋" w:hAnsi="仿宋" w:eastAsia="仿宋" w:cs="仿宋"/>
                <w:kern w:val="2"/>
                <w:sz w:val="24"/>
                <w:szCs w:val="24"/>
              </w:rPr>
            </w:pPr>
            <w:r>
              <w:rPr>
                <w:rFonts w:hint="eastAsia" w:ascii="仿宋" w:hAnsi="仿宋" w:eastAsia="仿宋" w:cs="仿宋"/>
                <w:kern w:val="2"/>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exact"/>
          <w:jc w:val="center"/>
        </w:trPr>
        <w:tc>
          <w:tcPr>
            <w:tcW w:w="796"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600" w:lineRule="exact"/>
              <w:jc w:val="center"/>
              <w:rPr>
                <w:rFonts w:hint="eastAsia" w:ascii="仿宋" w:hAnsi="仿宋" w:eastAsia="仿宋" w:cs="仿宋"/>
                <w:kern w:val="2"/>
                <w:sz w:val="24"/>
                <w:szCs w:val="24"/>
              </w:rPr>
            </w:pPr>
            <w:r>
              <w:rPr>
                <w:rFonts w:hint="eastAsia" w:ascii="仿宋" w:hAnsi="仿宋" w:eastAsia="仿宋" w:cs="仿宋"/>
                <w:kern w:val="2"/>
                <w:sz w:val="24"/>
                <w:szCs w:val="24"/>
              </w:rPr>
              <w:t>4</w:t>
            </w:r>
          </w:p>
        </w:tc>
        <w:tc>
          <w:tcPr>
            <w:tcW w:w="4035"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400" w:lineRule="exact"/>
              <w:rPr>
                <w:rFonts w:hint="eastAsia" w:ascii="仿宋" w:hAnsi="仿宋" w:eastAsia="仿宋" w:cs="仿宋"/>
                <w:kern w:val="2"/>
                <w:sz w:val="24"/>
                <w:szCs w:val="24"/>
              </w:rPr>
            </w:pPr>
            <w:r>
              <w:rPr>
                <w:rFonts w:hint="eastAsia" w:ascii="仿宋" w:hAnsi="仿宋" w:eastAsia="仿宋" w:cs="仿宋"/>
                <w:kern w:val="2"/>
                <w:sz w:val="24"/>
                <w:szCs w:val="24"/>
              </w:rPr>
              <w:t>政府专职消防员数量（个）</w:t>
            </w:r>
          </w:p>
        </w:tc>
        <w:tc>
          <w:tcPr>
            <w:tcW w:w="1710"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400" w:lineRule="exact"/>
              <w:jc w:val="center"/>
              <w:rPr>
                <w:rFonts w:hint="eastAsia" w:ascii="仿宋" w:hAnsi="仿宋" w:eastAsia="仿宋" w:cs="仿宋"/>
                <w:kern w:val="2"/>
                <w:sz w:val="24"/>
                <w:szCs w:val="24"/>
              </w:rPr>
            </w:pPr>
            <w:r>
              <w:rPr>
                <w:rFonts w:hint="eastAsia" w:ascii="仿宋" w:hAnsi="仿宋" w:eastAsia="仿宋" w:cs="仿宋"/>
                <w:kern w:val="2"/>
                <w:sz w:val="24"/>
                <w:szCs w:val="24"/>
              </w:rPr>
              <w:t>10</w:t>
            </w:r>
          </w:p>
        </w:tc>
        <w:tc>
          <w:tcPr>
            <w:tcW w:w="1665"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400" w:lineRule="exact"/>
              <w:jc w:val="center"/>
              <w:rPr>
                <w:rFonts w:hint="eastAsia" w:ascii="仿宋" w:hAnsi="仿宋" w:eastAsia="仿宋" w:cs="仿宋"/>
                <w:kern w:val="2"/>
                <w:sz w:val="24"/>
                <w:szCs w:val="24"/>
              </w:rPr>
            </w:pPr>
            <w:r>
              <w:rPr>
                <w:rFonts w:hint="eastAsia" w:ascii="仿宋" w:hAnsi="仿宋" w:eastAsia="仿宋" w:cs="仿宋"/>
                <w:kern w:val="2"/>
                <w:sz w:val="24"/>
                <w:szCs w:val="24"/>
              </w:rPr>
              <w:t>25</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400" w:lineRule="exact"/>
              <w:jc w:val="center"/>
              <w:rPr>
                <w:rFonts w:hint="eastAsia" w:ascii="仿宋" w:hAnsi="仿宋" w:eastAsia="仿宋" w:cs="仿宋"/>
                <w:kern w:val="2"/>
                <w:sz w:val="24"/>
                <w:szCs w:val="24"/>
              </w:rPr>
            </w:pPr>
            <w:r>
              <w:rPr>
                <w:rFonts w:hint="eastAsia" w:ascii="仿宋" w:hAnsi="仿宋" w:eastAsia="仿宋" w:cs="仿宋"/>
                <w:kern w:val="2"/>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exact"/>
          <w:jc w:val="center"/>
        </w:trPr>
        <w:tc>
          <w:tcPr>
            <w:tcW w:w="796"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600" w:lineRule="exact"/>
              <w:jc w:val="center"/>
              <w:rPr>
                <w:rFonts w:hint="eastAsia" w:ascii="仿宋" w:hAnsi="仿宋" w:eastAsia="仿宋" w:cs="仿宋"/>
                <w:kern w:val="2"/>
                <w:sz w:val="24"/>
                <w:szCs w:val="24"/>
              </w:rPr>
            </w:pPr>
            <w:r>
              <w:rPr>
                <w:rFonts w:hint="eastAsia" w:ascii="仿宋" w:hAnsi="仿宋" w:eastAsia="仿宋" w:cs="仿宋"/>
                <w:kern w:val="2"/>
                <w:sz w:val="24"/>
                <w:szCs w:val="24"/>
              </w:rPr>
              <w:t>5</w:t>
            </w:r>
          </w:p>
        </w:tc>
        <w:tc>
          <w:tcPr>
            <w:tcW w:w="4035"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240" w:lineRule="exact"/>
              <w:jc w:val="center"/>
              <w:rPr>
                <w:rFonts w:hint="eastAsia" w:ascii="仿宋" w:hAnsi="仿宋" w:eastAsia="仿宋" w:cs="仿宋"/>
                <w:kern w:val="2"/>
                <w:sz w:val="24"/>
                <w:szCs w:val="24"/>
              </w:rPr>
            </w:pPr>
            <w:r>
              <w:rPr>
                <w:rFonts w:hint="eastAsia" w:ascii="仿宋" w:hAnsi="仿宋" w:eastAsia="仿宋" w:cs="仿宋"/>
                <w:kern w:val="2"/>
                <w:sz w:val="24"/>
                <w:szCs w:val="24"/>
              </w:rPr>
              <w:t>单位从业人员拥有持消防设施操作员资格证书人员比例（%）</w:t>
            </w:r>
          </w:p>
        </w:tc>
        <w:tc>
          <w:tcPr>
            <w:tcW w:w="1710"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400" w:lineRule="exact"/>
              <w:jc w:val="center"/>
              <w:rPr>
                <w:rFonts w:hint="eastAsia" w:ascii="仿宋" w:hAnsi="仿宋" w:eastAsia="仿宋" w:cs="仿宋"/>
                <w:kern w:val="2"/>
                <w:sz w:val="24"/>
                <w:szCs w:val="24"/>
              </w:rPr>
            </w:pPr>
            <w:r>
              <w:rPr>
                <w:rFonts w:hint="eastAsia" w:ascii="仿宋" w:hAnsi="仿宋" w:eastAsia="仿宋" w:cs="仿宋"/>
                <w:kern w:val="2"/>
                <w:sz w:val="24"/>
                <w:szCs w:val="24"/>
              </w:rPr>
              <w:t>90%</w:t>
            </w:r>
          </w:p>
        </w:tc>
        <w:tc>
          <w:tcPr>
            <w:tcW w:w="1665"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400" w:lineRule="exact"/>
              <w:jc w:val="center"/>
              <w:rPr>
                <w:rFonts w:hint="eastAsia" w:ascii="仿宋" w:hAnsi="仿宋" w:eastAsia="仿宋" w:cs="仿宋"/>
                <w:kern w:val="2"/>
                <w:sz w:val="24"/>
                <w:szCs w:val="24"/>
              </w:rPr>
            </w:pPr>
            <w:r>
              <w:rPr>
                <w:rFonts w:hint="eastAsia" w:ascii="仿宋" w:hAnsi="仿宋" w:eastAsia="仿宋" w:cs="仿宋"/>
                <w:kern w:val="2"/>
                <w:sz w:val="24"/>
                <w:szCs w:val="24"/>
              </w:rPr>
              <w:t>100%</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400" w:lineRule="exact"/>
              <w:jc w:val="center"/>
              <w:rPr>
                <w:rFonts w:hint="eastAsia" w:ascii="仿宋" w:hAnsi="仿宋" w:eastAsia="仿宋" w:cs="仿宋"/>
                <w:kern w:val="2"/>
                <w:sz w:val="24"/>
                <w:szCs w:val="24"/>
              </w:rPr>
            </w:pPr>
            <w:r>
              <w:rPr>
                <w:rFonts w:hint="eastAsia" w:ascii="仿宋" w:hAnsi="仿宋" w:eastAsia="仿宋" w:cs="仿宋"/>
                <w:kern w:val="2"/>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6"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600" w:lineRule="exact"/>
              <w:jc w:val="center"/>
              <w:rPr>
                <w:rFonts w:hint="eastAsia" w:ascii="仿宋" w:hAnsi="仿宋" w:eastAsia="仿宋" w:cs="仿宋"/>
                <w:kern w:val="2"/>
                <w:sz w:val="24"/>
                <w:szCs w:val="24"/>
              </w:rPr>
            </w:pPr>
            <w:r>
              <w:rPr>
                <w:rFonts w:hint="eastAsia" w:ascii="仿宋" w:hAnsi="仿宋" w:eastAsia="仿宋" w:cs="仿宋"/>
                <w:kern w:val="2"/>
                <w:sz w:val="24"/>
                <w:szCs w:val="24"/>
              </w:rPr>
              <w:t>6</w:t>
            </w:r>
          </w:p>
        </w:tc>
        <w:tc>
          <w:tcPr>
            <w:tcW w:w="4035"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400" w:lineRule="exact"/>
              <w:jc w:val="center"/>
              <w:rPr>
                <w:rFonts w:hint="eastAsia" w:ascii="仿宋" w:hAnsi="仿宋" w:eastAsia="仿宋" w:cs="仿宋"/>
                <w:kern w:val="2"/>
                <w:sz w:val="24"/>
                <w:szCs w:val="24"/>
              </w:rPr>
            </w:pPr>
            <w:r>
              <w:rPr>
                <w:rFonts w:hint="eastAsia" w:ascii="仿宋" w:hAnsi="仿宋" w:eastAsia="仿宋" w:cs="仿宋"/>
                <w:kern w:val="2"/>
                <w:sz w:val="24"/>
                <w:szCs w:val="24"/>
              </w:rPr>
              <w:t>公众消防安全满意度（%）</w:t>
            </w:r>
          </w:p>
        </w:tc>
        <w:tc>
          <w:tcPr>
            <w:tcW w:w="1710"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400" w:lineRule="exact"/>
              <w:jc w:val="center"/>
              <w:rPr>
                <w:rFonts w:hint="eastAsia" w:ascii="仿宋" w:hAnsi="仿宋" w:eastAsia="仿宋" w:cs="仿宋"/>
                <w:kern w:val="2"/>
                <w:sz w:val="24"/>
                <w:szCs w:val="24"/>
              </w:rPr>
            </w:pPr>
            <w:r>
              <w:rPr>
                <w:rFonts w:hint="eastAsia" w:ascii="仿宋" w:hAnsi="仿宋" w:eastAsia="仿宋" w:cs="仿宋"/>
                <w:kern w:val="2"/>
                <w:sz w:val="24"/>
                <w:szCs w:val="24"/>
              </w:rPr>
              <w:t>90%</w:t>
            </w:r>
          </w:p>
        </w:tc>
        <w:tc>
          <w:tcPr>
            <w:tcW w:w="1665"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400" w:lineRule="exact"/>
              <w:jc w:val="center"/>
              <w:rPr>
                <w:rFonts w:hint="eastAsia" w:ascii="仿宋" w:hAnsi="仿宋" w:eastAsia="仿宋" w:cs="仿宋"/>
                <w:kern w:val="2"/>
                <w:sz w:val="24"/>
                <w:szCs w:val="24"/>
              </w:rPr>
            </w:pPr>
            <w:r>
              <w:rPr>
                <w:rFonts w:hint="eastAsia" w:ascii="仿宋" w:hAnsi="仿宋" w:eastAsia="仿宋" w:cs="仿宋"/>
                <w:kern w:val="2"/>
                <w:sz w:val="24"/>
                <w:szCs w:val="24"/>
              </w:rPr>
              <w:t>100%</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400" w:lineRule="exact"/>
              <w:jc w:val="center"/>
              <w:rPr>
                <w:rFonts w:hint="eastAsia" w:ascii="仿宋" w:hAnsi="仿宋" w:eastAsia="仿宋" w:cs="仿宋"/>
                <w:kern w:val="2"/>
                <w:sz w:val="24"/>
                <w:szCs w:val="24"/>
              </w:rPr>
            </w:pPr>
            <w:r>
              <w:rPr>
                <w:rFonts w:hint="eastAsia" w:ascii="仿宋" w:hAnsi="仿宋" w:eastAsia="仿宋" w:cs="仿宋"/>
                <w:kern w:val="2"/>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exact"/>
          <w:jc w:val="center"/>
        </w:trPr>
        <w:tc>
          <w:tcPr>
            <w:tcW w:w="796"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600" w:lineRule="exact"/>
              <w:jc w:val="center"/>
              <w:rPr>
                <w:rFonts w:hint="eastAsia" w:ascii="仿宋" w:hAnsi="仿宋" w:eastAsia="仿宋" w:cs="仿宋"/>
                <w:kern w:val="2"/>
                <w:sz w:val="24"/>
                <w:szCs w:val="24"/>
              </w:rPr>
            </w:pPr>
            <w:r>
              <w:rPr>
                <w:rFonts w:hint="eastAsia" w:ascii="仿宋" w:hAnsi="仿宋" w:eastAsia="仿宋" w:cs="仿宋"/>
                <w:kern w:val="2"/>
                <w:sz w:val="24"/>
                <w:szCs w:val="24"/>
              </w:rPr>
              <w:t>7</w:t>
            </w:r>
          </w:p>
        </w:tc>
        <w:tc>
          <w:tcPr>
            <w:tcW w:w="4035"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400" w:lineRule="exact"/>
              <w:jc w:val="center"/>
              <w:rPr>
                <w:rFonts w:hint="eastAsia" w:ascii="仿宋" w:hAnsi="仿宋" w:eastAsia="仿宋" w:cs="仿宋"/>
                <w:kern w:val="2"/>
                <w:sz w:val="24"/>
                <w:szCs w:val="24"/>
              </w:rPr>
            </w:pPr>
            <w:r>
              <w:rPr>
                <w:rFonts w:hint="eastAsia" w:ascii="仿宋" w:hAnsi="仿宋" w:eastAsia="仿宋" w:cs="仿宋"/>
                <w:kern w:val="2"/>
                <w:sz w:val="24"/>
                <w:szCs w:val="24"/>
              </w:rPr>
              <w:t>万人火灾发生率</w:t>
            </w:r>
          </w:p>
        </w:tc>
        <w:tc>
          <w:tcPr>
            <w:tcW w:w="1710"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300" w:lineRule="exact"/>
              <w:jc w:val="center"/>
              <w:rPr>
                <w:rFonts w:hint="eastAsia" w:ascii="仿宋" w:hAnsi="仿宋" w:eastAsia="仿宋" w:cs="仿宋"/>
                <w:kern w:val="2"/>
                <w:sz w:val="24"/>
                <w:szCs w:val="24"/>
              </w:rPr>
            </w:pPr>
            <w:r>
              <w:rPr>
                <w:rFonts w:hint="eastAsia" w:ascii="仿宋" w:hAnsi="仿宋" w:eastAsia="仿宋" w:cs="仿宋"/>
                <w:kern w:val="2"/>
                <w:sz w:val="24"/>
                <w:szCs w:val="24"/>
              </w:rPr>
              <w:t>万分之2.0</w:t>
            </w:r>
          </w:p>
        </w:tc>
        <w:tc>
          <w:tcPr>
            <w:tcW w:w="1665"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300" w:lineRule="exact"/>
              <w:jc w:val="center"/>
              <w:rPr>
                <w:rFonts w:hint="eastAsia" w:ascii="仿宋" w:hAnsi="仿宋" w:eastAsia="仿宋" w:cs="仿宋"/>
                <w:kern w:val="2"/>
                <w:sz w:val="24"/>
                <w:szCs w:val="24"/>
              </w:rPr>
            </w:pPr>
            <w:r>
              <w:rPr>
                <w:rFonts w:hint="eastAsia" w:ascii="仿宋" w:hAnsi="仿宋" w:eastAsia="仿宋" w:cs="仿宋"/>
                <w:kern w:val="2"/>
                <w:sz w:val="24"/>
                <w:szCs w:val="24"/>
              </w:rPr>
              <w:t>万分之1.9</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300" w:lineRule="exact"/>
              <w:jc w:val="center"/>
              <w:rPr>
                <w:rFonts w:hint="eastAsia" w:ascii="仿宋" w:hAnsi="仿宋" w:eastAsia="仿宋" w:cs="仿宋"/>
                <w:kern w:val="2"/>
                <w:sz w:val="24"/>
                <w:szCs w:val="24"/>
              </w:rPr>
            </w:pPr>
            <w:r>
              <w:rPr>
                <w:rFonts w:hint="eastAsia" w:ascii="仿宋" w:hAnsi="仿宋" w:eastAsia="仿宋" w:cs="仿宋"/>
                <w:kern w:val="2"/>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796"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600" w:lineRule="exact"/>
              <w:jc w:val="center"/>
              <w:rPr>
                <w:rFonts w:hint="eastAsia" w:ascii="仿宋" w:hAnsi="仿宋" w:eastAsia="仿宋" w:cs="仿宋"/>
                <w:kern w:val="2"/>
                <w:sz w:val="24"/>
                <w:szCs w:val="24"/>
              </w:rPr>
            </w:pPr>
            <w:r>
              <w:rPr>
                <w:rFonts w:hint="eastAsia" w:ascii="仿宋" w:hAnsi="仿宋" w:eastAsia="仿宋" w:cs="仿宋"/>
                <w:kern w:val="2"/>
                <w:sz w:val="24"/>
                <w:szCs w:val="24"/>
              </w:rPr>
              <w:t>8</w:t>
            </w:r>
          </w:p>
        </w:tc>
        <w:tc>
          <w:tcPr>
            <w:tcW w:w="4035"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400" w:lineRule="exact"/>
              <w:jc w:val="center"/>
              <w:rPr>
                <w:rFonts w:hint="eastAsia" w:ascii="仿宋" w:hAnsi="仿宋" w:eastAsia="仿宋" w:cs="仿宋"/>
                <w:kern w:val="2"/>
                <w:sz w:val="24"/>
                <w:szCs w:val="24"/>
              </w:rPr>
            </w:pPr>
            <w:r>
              <w:rPr>
                <w:rFonts w:hint="eastAsia" w:ascii="仿宋" w:hAnsi="仿宋" w:eastAsia="仿宋" w:cs="仿宋"/>
                <w:kern w:val="2"/>
                <w:sz w:val="24"/>
                <w:szCs w:val="24"/>
              </w:rPr>
              <w:t>火灾十万人死亡率</w:t>
            </w:r>
          </w:p>
        </w:tc>
        <w:tc>
          <w:tcPr>
            <w:tcW w:w="1710"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240" w:lineRule="exact"/>
              <w:jc w:val="center"/>
              <w:rPr>
                <w:rFonts w:hint="eastAsia" w:ascii="仿宋" w:hAnsi="仿宋" w:eastAsia="仿宋" w:cs="仿宋"/>
                <w:kern w:val="2"/>
                <w:sz w:val="24"/>
                <w:szCs w:val="24"/>
              </w:rPr>
            </w:pPr>
            <w:r>
              <w:rPr>
                <w:rFonts w:hint="eastAsia" w:ascii="仿宋" w:hAnsi="仿宋" w:eastAsia="仿宋" w:cs="仿宋"/>
                <w:kern w:val="2"/>
                <w:sz w:val="24"/>
                <w:szCs w:val="24"/>
              </w:rPr>
              <w:t>十万分之0.10以内</w:t>
            </w:r>
          </w:p>
        </w:tc>
        <w:tc>
          <w:tcPr>
            <w:tcW w:w="1665"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240" w:lineRule="exact"/>
              <w:jc w:val="center"/>
              <w:rPr>
                <w:rFonts w:hint="eastAsia" w:ascii="仿宋" w:hAnsi="仿宋" w:eastAsia="仿宋" w:cs="仿宋"/>
                <w:kern w:val="2"/>
                <w:sz w:val="24"/>
                <w:szCs w:val="24"/>
              </w:rPr>
            </w:pPr>
            <w:r>
              <w:rPr>
                <w:rFonts w:hint="eastAsia" w:ascii="仿宋" w:hAnsi="仿宋" w:eastAsia="仿宋" w:cs="仿宋"/>
                <w:kern w:val="2"/>
                <w:sz w:val="24"/>
                <w:szCs w:val="24"/>
              </w:rPr>
              <w:t>十万分之0.09以内</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240" w:lineRule="exact"/>
              <w:jc w:val="center"/>
              <w:rPr>
                <w:rFonts w:hint="eastAsia" w:ascii="仿宋" w:hAnsi="仿宋" w:eastAsia="仿宋" w:cs="仿宋"/>
                <w:kern w:val="2"/>
                <w:sz w:val="24"/>
                <w:szCs w:val="24"/>
              </w:rPr>
            </w:pPr>
            <w:r>
              <w:rPr>
                <w:rFonts w:hint="eastAsia" w:ascii="仿宋" w:hAnsi="仿宋" w:eastAsia="仿宋" w:cs="仿宋"/>
                <w:kern w:val="2"/>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796"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600" w:lineRule="exact"/>
              <w:jc w:val="center"/>
              <w:rPr>
                <w:rFonts w:hint="eastAsia" w:ascii="仿宋" w:hAnsi="仿宋" w:eastAsia="仿宋" w:cs="仿宋"/>
                <w:kern w:val="2"/>
                <w:sz w:val="24"/>
                <w:szCs w:val="24"/>
              </w:rPr>
            </w:pPr>
            <w:r>
              <w:rPr>
                <w:rFonts w:hint="eastAsia" w:ascii="仿宋" w:hAnsi="仿宋" w:eastAsia="仿宋" w:cs="仿宋"/>
                <w:kern w:val="2"/>
                <w:sz w:val="24"/>
                <w:szCs w:val="24"/>
              </w:rPr>
              <w:t>9</w:t>
            </w:r>
          </w:p>
        </w:tc>
        <w:tc>
          <w:tcPr>
            <w:tcW w:w="4035"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400" w:lineRule="exact"/>
              <w:jc w:val="center"/>
              <w:rPr>
                <w:rFonts w:hint="eastAsia" w:ascii="仿宋" w:hAnsi="仿宋" w:eastAsia="仿宋" w:cs="仿宋"/>
                <w:kern w:val="2"/>
                <w:sz w:val="24"/>
                <w:szCs w:val="24"/>
              </w:rPr>
            </w:pPr>
            <w:r>
              <w:rPr>
                <w:rFonts w:hint="eastAsia" w:ascii="仿宋" w:hAnsi="仿宋" w:eastAsia="仿宋" w:cs="仿宋"/>
                <w:kern w:val="2"/>
                <w:sz w:val="24"/>
                <w:szCs w:val="24"/>
              </w:rPr>
              <w:t>亿元GDP火灾损失率</w:t>
            </w:r>
          </w:p>
        </w:tc>
        <w:tc>
          <w:tcPr>
            <w:tcW w:w="1710"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240" w:lineRule="exact"/>
              <w:jc w:val="center"/>
              <w:rPr>
                <w:rFonts w:hint="eastAsia" w:ascii="仿宋" w:hAnsi="仿宋" w:eastAsia="仿宋" w:cs="仿宋"/>
                <w:kern w:val="2"/>
                <w:sz w:val="24"/>
                <w:szCs w:val="24"/>
              </w:rPr>
            </w:pPr>
            <w:r>
              <w:rPr>
                <w:rFonts w:hint="eastAsia" w:ascii="仿宋" w:hAnsi="仿宋" w:eastAsia="仿宋" w:cs="仿宋"/>
                <w:kern w:val="2"/>
                <w:sz w:val="24"/>
                <w:szCs w:val="24"/>
              </w:rPr>
              <w:t>万分之0.90以内</w:t>
            </w:r>
          </w:p>
        </w:tc>
        <w:tc>
          <w:tcPr>
            <w:tcW w:w="1665"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240" w:lineRule="exact"/>
              <w:jc w:val="center"/>
              <w:rPr>
                <w:rFonts w:hint="eastAsia" w:ascii="仿宋" w:hAnsi="仿宋" w:eastAsia="仿宋" w:cs="仿宋"/>
                <w:kern w:val="2"/>
                <w:sz w:val="24"/>
                <w:szCs w:val="24"/>
              </w:rPr>
            </w:pPr>
            <w:r>
              <w:rPr>
                <w:rFonts w:hint="eastAsia" w:ascii="仿宋" w:hAnsi="仿宋" w:eastAsia="仿宋" w:cs="仿宋"/>
                <w:kern w:val="2"/>
                <w:sz w:val="24"/>
                <w:szCs w:val="24"/>
              </w:rPr>
              <w:t>万分之0.86以内</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240" w:lineRule="exact"/>
              <w:jc w:val="center"/>
              <w:rPr>
                <w:rFonts w:hint="eastAsia" w:ascii="仿宋" w:hAnsi="仿宋" w:eastAsia="仿宋" w:cs="仿宋"/>
                <w:kern w:val="2"/>
                <w:sz w:val="24"/>
                <w:szCs w:val="24"/>
              </w:rPr>
            </w:pPr>
            <w:r>
              <w:rPr>
                <w:rFonts w:hint="eastAsia" w:ascii="仿宋" w:hAnsi="仿宋" w:eastAsia="仿宋" w:cs="仿宋"/>
                <w:kern w:val="2"/>
                <w:sz w:val="24"/>
                <w:szCs w:val="24"/>
              </w:rPr>
              <w:t>约束性</w:t>
            </w:r>
          </w:p>
        </w:tc>
      </w:tr>
    </w:tbl>
    <w:p>
      <w:pPr>
        <w:spacing w:after="0" w:line="600" w:lineRule="exact"/>
        <w:ind w:firstLine="720" w:firstLineChars="200"/>
        <w:jc w:val="both"/>
        <w:rPr>
          <w:rFonts w:hint="eastAsia" w:ascii="黑体" w:hAnsi="黑体" w:eastAsia="黑体" w:cs="黑体"/>
          <w:color w:val="000000"/>
          <w:sz w:val="36"/>
          <w:szCs w:val="36"/>
        </w:rPr>
      </w:pPr>
      <w:r>
        <w:rPr>
          <w:rFonts w:hint="eastAsia" w:ascii="黑体" w:hAnsi="黑体" w:eastAsia="黑体" w:cs="黑体"/>
          <w:color w:val="000000"/>
          <w:sz w:val="36"/>
          <w:szCs w:val="36"/>
        </w:rPr>
        <w:t>三、主要任务</w:t>
      </w:r>
    </w:p>
    <w:p>
      <w:pPr>
        <w:adjustRightInd/>
        <w:snapToGrid/>
        <w:spacing w:after="0" w:line="600" w:lineRule="exact"/>
        <w:ind w:firstLine="643" w:firstLineChars="200"/>
        <w:jc w:val="both"/>
        <w:rPr>
          <w:rFonts w:hint="eastAsia" w:ascii="楷体" w:hAnsi="楷体" w:eastAsia="楷体" w:cs="楷体"/>
          <w:b/>
          <w:color w:val="000000"/>
          <w:kern w:val="2"/>
          <w:sz w:val="32"/>
          <w:szCs w:val="32"/>
        </w:rPr>
      </w:pPr>
      <w:r>
        <w:rPr>
          <w:rFonts w:hint="eastAsia" w:ascii="楷体" w:hAnsi="楷体" w:eastAsia="楷体" w:cs="楷体"/>
          <w:b/>
          <w:color w:val="000000"/>
          <w:kern w:val="2"/>
          <w:sz w:val="32"/>
          <w:szCs w:val="32"/>
        </w:rPr>
        <w:t>（一）健全消防安全责任体系</w:t>
      </w:r>
    </w:p>
    <w:p>
      <w:pPr>
        <w:adjustRightInd/>
        <w:snapToGrid/>
        <w:spacing w:after="0" w:line="600" w:lineRule="exact"/>
        <w:ind w:firstLine="643" w:firstLineChars="200"/>
        <w:jc w:val="both"/>
        <w:rPr>
          <w:rFonts w:hint="eastAsia" w:ascii="仿宋" w:hAnsi="仿宋" w:eastAsia="仿宋" w:cs="仿宋"/>
          <w:bCs/>
          <w:color w:val="000000"/>
          <w:kern w:val="2"/>
          <w:sz w:val="32"/>
          <w:szCs w:val="32"/>
        </w:rPr>
      </w:pPr>
      <w:r>
        <w:rPr>
          <w:rFonts w:hint="eastAsia" w:ascii="仿宋" w:hAnsi="仿宋" w:eastAsia="仿宋" w:cs="仿宋"/>
          <w:b/>
          <w:bCs/>
          <w:color w:val="000000"/>
          <w:kern w:val="2"/>
          <w:sz w:val="32"/>
          <w:szCs w:val="32"/>
        </w:rPr>
        <w:t>1、</w:t>
      </w:r>
      <w:r>
        <w:rPr>
          <w:rFonts w:hint="eastAsia" w:ascii="仿宋" w:hAnsi="仿宋" w:eastAsia="仿宋" w:cs="仿宋"/>
          <w:b/>
          <w:color w:val="000000"/>
          <w:kern w:val="2"/>
          <w:sz w:val="32"/>
          <w:szCs w:val="32"/>
        </w:rPr>
        <w:t>强化党委政府统一领导。</w:t>
      </w:r>
      <w:r>
        <w:rPr>
          <w:rFonts w:hint="eastAsia" w:ascii="仿宋" w:hAnsi="仿宋" w:eastAsia="仿宋" w:cs="仿宋"/>
          <w:bCs/>
          <w:color w:val="000000"/>
          <w:kern w:val="2"/>
          <w:sz w:val="32"/>
          <w:szCs w:val="32"/>
        </w:rPr>
        <w:t>区消防安全委员会实体化运行，落实“四有”，即有机构、有人员、有机制、有经费。建立健全政府消防安全重大问题问责、警示约谈、重大隐患挂牌督办、重大问题抄告反馈等制度。建立消防工作巡查制度，完善政府年度消防工作考核机制和考核体系，巡查、考核结果作为政府主要负责人和领导班子综合考核评价的重要依据，政府和部门主要负责人将消防工作纳入年度工作述职内容。</w:t>
      </w:r>
    </w:p>
    <w:p>
      <w:pPr>
        <w:widowControl w:val="0"/>
        <w:adjustRightInd/>
        <w:snapToGrid/>
        <w:spacing w:after="0" w:line="600" w:lineRule="exact"/>
        <w:ind w:firstLine="643" w:firstLineChars="200"/>
        <w:jc w:val="both"/>
        <w:rPr>
          <w:rFonts w:hint="eastAsia" w:ascii="仿宋" w:hAnsi="仿宋" w:eastAsia="仿宋" w:cs="仿宋"/>
          <w:bCs/>
          <w:color w:val="000000"/>
          <w:kern w:val="2"/>
          <w:sz w:val="32"/>
          <w:szCs w:val="32"/>
        </w:rPr>
      </w:pPr>
      <w:r>
        <w:rPr>
          <w:rFonts w:hint="eastAsia" w:ascii="仿宋" w:hAnsi="仿宋" w:eastAsia="仿宋" w:cs="仿宋"/>
          <w:b/>
          <w:bCs/>
          <w:color w:val="000000"/>
          <w:kern w:val="2"/>
          <w:sz w:val="32"/>
          <w:szCs w:val="32"/>
        </w:rPr>
        <w:t>2、深化行业部门消防工作职责。</w:t>
      </w:r>
      <w:r>
        <w:rPr>
          <w:rFonts w:hint="eastAsia" w:ascii="仿宋" w:hAnsi="仿宋" w:eastAsia="仿宋" w:cs="仿宋"/>
          <w:bCs/>
          <w:color w:val="000000"/>
          <w:kern w:val="2"/>
          <w:sz w:val="32"/>
          <w:szCs w:val="32"/>
        </w:rPr>
        <w:t>健全各行业部门的消防安全情况通报、会商研判、联合执法检查机制，提高检查和整改火灾隐患的效能。将消防设施检测维保结果作为职能部门监督检查的重要内容，并固化建筑消防设施、通道、间距和电气等火灾隐患的治理机制，加强火灾风险控制力度。加强对占用消防车道、防火间距等临时性建筑及“三合一”、“多合一”火灾高危场所的整治力度。组建由专家学者、技术骨干、科研院所、检测机构等领域人才组成的消防安全专家库，分行业领域成立专家组，建立推行专家检查制度。采取政府购买服务等方式，开展高风险场所消防检查、专业评估和隐患整改。</w:t>
      </w:r>
    </w:p>
    <w:p>
      <w:pPr>
        <w:autoSpaceDE w:val="0"/>
        <w:adjustRightInd/>
        <w:snapToGrid/>
        <w:spacing w:after="0" w:line="600" w:lineRule="exact"/>
        <w:ind w:firstLine="643" w:firstLineChars="200"/>
        <w:jc w:val="both"/>
        <w:rPr>
          <w:rFonts w:hint="eastAsia" w:ascii="仿宋" w:hAnsi="仿宋" w:eastAsia="仿宋" w:cs="仿宋"/>
          <w:bCs/>
          <w:color w:val="000000"/>
          <w:kern w:val="2"/>
          <w:sz w:val="32"/>
          <w:szCs w:val="32"/>
        </w:rPr>
      </w:pPr>
      <w:r>
        <w:rPr>
          <w:rFonts w:hint="eastAsia" w:ascii="仿宋" w:hAnsi="仿宋" w:eastAsia="仿宋" w:cs="仿宋"/>
          <w:b/>
          <w:bCs/>
          <w:color w:val="000000"/>
          <w:kern w:val="2"/>
          <w:sz w:val="32"/>
          <w:szCs w:val="32"/>
        </w:rPr>
        <w:t>3、强化落实单位主体责任。</w:t>
      </w:r>
      <w:r>
        <w:rPr>
          <w:rFonts w:hint="eastAsia" w:ascii="仿宋" w:hAnsi="仿宋" w:eastAsia="仿宋" w:cs="仿宋"/>
          <w:bCs/>
          <w:color w:val="000000"/>
          <w:kern w:val="2"/>
          <w:sz w:val="32"/>
          <w:szCs w:val="32"/>
        </w:rPr>
        <w:t>建立单位责任人、管理人履职能力常态化培训制度，</w:t>
      </w:r>
      <w:r>
        <w:rPr>
          <w:rFonts w:hint="eastAsia" w:ascii="仿宋" w:hAnsi="仿宋" w:eastAsia="仿宋" w:cs="仿宋"/>
          <w:color w:val="000000"/>
          <w:kern w:val="2"/>
          <w:sz w:val="32"/>
          <w:szCs w:val="32"/>
        </w:rPr>
        <w:t>落实员工岗前培训和消防基本技能实操实训，健全消防安全自主管理机制。持续深化</w:t>
      </w:r>
      <w:r>
        <w:rPr>
          <w:rFonts w:hint="eastAsia" w:ascii="仿宋" w:hAnsi="仿宋" w:eastAsia="仿宋" w:cs="仿宋"/>
          <w:color w:val="000000"/>
          <w:sz w:val="32"/>
          <w:szCs w:val="32"/>
        </w:rPr>
        <w:t>单位消防安全“四个能力”建设</w:t>
      </w:r>
      <w:r>
        <w:rPr>
          <w:rFonts w:hint="eastAsia" w:ascii="仿宋" w:hAnsi="仿宋" w:eastAsia="仿宋" w:cs="仿宋"/>
          <w:color w:val="000000"/>
          <w:kern w:val="2"/>
          <w:sz w:val="32"/>
          <w:szCs w:val="32"/>
        </w:rPr>
        <w:t>，实施标准化管理，加快微型消防站、志愿消防队提档升级</w:t>
      </w:r>
      <w:r>
        <w:rPr>
          <w:rFonts w:hint="eastAsia" w:ascii="仿宋" w:hAnsi="仿宋" w:eastAsia="仿宋" w:cs="仿宋"/>
          <w:bCs/>
          <w:color w:val="000000"/>
          <w:kern w:val="2"/>
          <w:sz w:val="32"/>
          <w:szCs w:val="32"/>
        </w:rPr>
        <w:t>。落实差异化火灾防范措施，制定单位火灾风险识别办法，实施不同频次、不同内容的抽查，督促单位依据火灾风险差异落实针对性防范措施。强化消防安全责任落实，将单位在办理消防行政许可、日常消防安全管理中做出的承诺纳入消防行业信用监管内容，守信承诺予以奖励，失信承诺予以惩戒。</w:t>
      </w:r>
    </w:p>
    <w:p>
      <w:pPr>
        <w:widowControl w:val="0"/>
        <w:autoSpaceDE w:val="0"/>
        <w:adjustRightInd/>
        <w:snapToGrid/>
        <w:spacing w:after="0" w:line="600" w:lineRule="exact"/>
        <w:ind w:firstLine="643" w:firstLineChars="200"/>
        <w:jc w:val="both"/>
        <w:rPr>
          <w:rFonts w:hint="eastAsia" w:ascii="仿宋" w:hAnsi="仿宋" w:eastAsia="仿宋" w:cs="仿宋"/>
          <w:bCs/>
          <w:color w:val="000000"/>
          <w:kern w:val="2"/>
          <w:sz w:val="32"/>
          <w:szCs w:val="32"/>
        </w:rPr>
      </w:pPr>
      <w:r>
        <w:rPr>
          <w:rFonts w:hint="eastAsia" w:ascii="仿宋" w:hAnsi="仿宋" w:eastAsia="仿宋" w:cs="仿宋"/>
          <w:b/>
          <w:bCs/>
          <w:color w:val="000000"/>
          <w:kern w:val="2"/>
          <w:sz w:val="32"/>
          <w:szCs w:val="32"/>
        </w:rPr>
        <w:t>4、强化消防部门监督指导职责。</w:t>
      </w:r>
      <w:r>
        <w:rPr>
          <w:rFonts w:hint="eastAsia" w:ascii="仿宋" w:hAnsi="仿宋" w:eastAsia="仿宋" w:cs="仿宋"/>
          <w:bCs/>
          <w:color w:val="000000"/>
          <w:kern w:val="2"/>
          <w:sz w:val="32"/>
          <w:szCs w:val="32"/>
        </w:rPr>
        <w:t>深入推进消防执法改革，推广公众聚集场所投入使用营业消防安全检查告知承诺制。加强法制审核、执法全过程记录、消防安全违法行为举报投诉案件核查和“双随机、一公开”检查等工作，开展消防政务服务窗口整治工作，切实推动各消防执法单位和个人规范廉洁执法。组织开展消防监督岗位业务培训，着力提升消防监督人员履职能力。结合上级要求指导派出所开展消防监督工作。</w:t>
      </w:r>
    </w:p>
    <w:p>
      <w:pPr>
        <w:autoSpaceDE w:val="0"/>
        <w:adjustRightInd/>
        <w:snapToGrid/>
        <w:spacing w:after="0" w:line="600" w:lineRule="exact"/>
        <w:ind w:firstLine="643" w:firstLineChars="200"/>
        <w:jc w:val="both"/>
        <w:rPr>
          <w:rFonts w:eastAsia="方正仿宋_GBK"/>
          <w:bCs/>
          <w:color w:val="000000"/>
          <w:kern w:val="2"/>
          <w:sz w:val="32"/>
          <w:szCs w:val="32"/>
        </w:rPr>
      </w:pPr>
      <w:r>
        <w:rPr>
          <w:rFonts w:hint="eastAsia" w:ascii="仿宋" w:hAnsi="仿宋" w:eastAsia="仿宋" w:cs="仿宋"/>
          <w:b/>
          <w:bCs/>
          <w:color w:val="000000" w:themeColor="text1"/>
          <w:kern w:val="2"/>
          <w:sz w:val="32"/>
          <w:szCs w:val="32"/>
          <w14:textFill>
            <w14:solidFill>
              <w14:schemeClr w14:val="tx1"/>
            </w14:solidFill>
          </w14:textFill>
        </w:rPr>
        <w:t>5、强化火灾事故责任追究。</w:t>
      </w:r>
      <w:r>
        <w:rPr>
          <w:rFonts w:hint="eastAsia" w:ascii="仿宋" w:hAnsi="仿宋" w:eastAsia="仿宋" w:cs="仿宋"/>
          <w:bCs/>
          <w:color w:val="000000" w:themeColor="text1"/>
          <w:kern w:val="2"/>
          <w:sz w:val="32"/>
          <w:szCs w:val="32"/>
          <w14:textFill>
            <w14:solidFill>
              <w14:schemeClr w14:val="tx1"/>
            </w14:solidFill>
          </w14:textFill>
        </w:rPr>
        <w:t>健全火灾事故调查处理机制，规范调查处理的工作程序，强化消防救援机构与其他部门的协调配合，严格落实火灾事故防范和整改措施评估制度，针对事故教训及时完善标</w:t>
      </w:r>
      <w:r>
        <w:rPr>
          <w:rFonts w:hint="eastAsia" w:ascii="仿宋" w:hAnsi="仿宋" w:eastAsia="仿宋" w:cs="仿宋"/>
          <w:bCs/>
          <w:color w:val="000000"/>
          <w:kern w:val="2"/>
          <w:sz w:val="32"/>
          <w:szCs w:val="32"/>
        </w:rPr>
        <w:t>准、强化管理、堵塞漏洞。2021年，区公安分局与消防救援大队建立火灾调查与刑事司法案件衔接机制，强化火灾事故涉嫌失火案、消防责任事故案和重大责任事故案等调查移送。</w:t>
      </w:r>
    </w:p>
    <w:p>
      <w:pPr>
        <w:autoSpaceDE w:val="0"/>
        <w:adjustRightInd/>
        <w:snapToGrid/>
        <w:spacing w:after="0" w:line="600" w:lineRule="exact"/>
        <w:ind w:firstLine="643" w:firstLineChars="200"/>
        <w:jc w:val="both"/>
        <w:rPr>
          <w:rFonts w:hint="eastAsia" w:ascii="楷体" w:hAnsi="楷体" w:eastAsia="楷体" w:cs="楷体"/>
          <w:b/>
          <w:color w:val="000000" w:themeColor="text1"/>
          <w:kern w:val="2"/>
          <w:sz w:val="32"/>
          <w:szCs w:val="32"/>
          <w14:textFill>
            <w14:solidFill>
              <w14:schemeClr w14:val="tx1"/>
            </w14:solidFill>
          </w14:textFill>
        </w:rPr>
      </w:pPr>
      <w:r>
        <w:rPr>
          <w:rFonts w:hint="eastAsia" w:ascii="楷体" w:hAnsi="楷体" w:eastAsia="楷体" w:cs="楷体"/>
          <w:b/>
          <w:color w:val="000000" w:themeColor="text1"/>
          <w:kern w:val="2"/>
          <w:sz w:val="32"/>
          <w:szCs w:val="32"/>
          <w14:textFill>
            <w14:solidFill>
              <w14:schemeClr w14:val="tx1"/>
            </w14:solidFill>
          </w14:textFill>
        </w:rPr>
        <w:t>（二）完善社会消防治理体系</w:t>
      </w:r>
    </w:p>
    <w:p>
      <w:pPr>
        <w:widowControl w:val="0"/>
        <w:autoSpaceDE w:val="0"/>
        <w:adjustRightInd/>
        <w:snapToGrid/>
        <w:spacing w:after="0" w:line="600" w:lineRule="exact"/>
        <w:ind w:firstLine="643" w:firstLineChars="200"/>
        <w:jc w:val="both"/>
        <w:rPr>
          <w:rFonts w:hint="eastAsia" w:ascii="仿宋" w:hAnsi="仿宋" w:eastAsia="仿宋" w:cs="仿宋"/>
          <w:bCs/>
          <w:color w:val="000000"/>
          <w:kern w:val="2"/>
          <w:sz w:val="32"/>
          <w:szCs w:val="32"/>
        </w:rPr>
      </w:pPr>
      <w:r>
        <w:rPr>
          <w:rFonts w:hint="eastAsia" w:ascii="仿宋" w:hAnsi="仿宋" w:eastAsia="仿宋" w:cs="仿宋"/>
          <w:b/>
          <w:bCs/>
          <w:color w:val="000000" w:themeColor="text1"/>
          <w:kern w:val="2"/>
          <w:sz w:val="32"/>
          <w:szCs w:val="32"/>
          <w14:textFill>
            <w14:solidFill>
              <w14:schemeClr w14:val="tx1"/>
            </w14:solidFill>
          </w14:textFill>
        </w:rPr>
        <w:t>6、</w:t>
      </w:r>
      <w:r>
        <w:rPr>
          <w:rFonts w:hint="eastAsia" w:ascii="仿宋" w:hAnsi="仿宋" w:eastAsia="仿宋" w:cs="仿宋"/>
          <w:b/>
          <w:color w:val="000000" w:themeColor="text1"/>
          <w:kern w:val="2"/>
          <w:sz w:val="32"/>
          <w:szCs w:val="32"/>
          <w14:textFill>
            <w14:solidFill>
              <w14:schemeClr w14:val="tx1"/>
            </w14:solidFill>
          </w14:textFill>
        </w:rPr>
        <w:t>强化消防安全风险预警。</w:t>
      </w:r>
      <w:r>
        <w:rPr>
          <w:rFonts w:hint="eastAsia" w:ascii="仿宋" w:hAnsi="仿宋" w:eastAsia="仿宋" w:cs="仿宋"/>
          <w:bCs/>
          <w:color w:val="000000" w:themeColor="text1"/>
          <w:kern w:val="2"/>
          <w:sz w:val="32"/>
          <w:szCs w:val="32"/>
          <w14:textFill>
            <w14:solidFill>
              <w14:schemeClr w14:val="tx1"/>
            </w14:solidFill>
          </w14:textFill>
        </w:rPr>
        <w:t>加强消防安全风险评估，制定消防安全风险评估办法，形成周期性</w:t>
      </w:r>
      <w:r>
        <w:rPr>
          <w:rFonts w:hint="eastAsia" w:ascii="仿宋" w:hAnsi="仿宋" w:eastAsia="仿宋" w:cs="仿宋"/>
          <w:bCs/>
          <w:color w:val="000000"/>
          <w:kern w:val="2"/>
          <w:sz w:val="32"/>
          <w:szCs w:val="32"/>
        </w:rPr>
        <w:t>分析评估机制，定期向本级政府报告火灾形势、消防安全薄弱环节和工作改进建议，实时向行业部门、社会公众告知消防安全风险评估结果。建立火灾监测预警平台，实现对火灾高风险场所、区域的动态监测、风险评估、智能分析和精准治理，提升消防救援机构对火灾风险的动态监测预警水平。建立火灾等灾情信息公众推送平台，实现火灾信息对相关区域人员、相关行业单位责任人、管理人的定向推送。加快在重点场所、重点单位推广应用灭弧式智慧用电、燃气安全智能控制等物联网感知技术，将火灾高危单位和设有自动消防设施的高层建筑接入城市消防远程监控系统，实现信息采集汇聚自动化。</w:t>
      </w:r>
    </w:p>
    <w:p>
      <w:pPr>
        <w:widowControl w:val="0"/>
        <w:autoSpaceDE w:val="0"/>
        <w:adjustRightInd/>
        <w:snapToGrid/>
        <w:spacing w:after="0" w:line="600" w:lineRule="exact"/>
        <w:ind w:firstLine="643" w:firstLineChars="200"/>
        <w:jc w:val="both"/>
        <w:rPr>
          <w:rFonts w:hint="eastAsia" w:ascii="仿宋" w:hAnsi="仿宋" w:eastAsia="仿宋" w:cs="仿宋"/>
          <w:color w:val="000000"/>
          <w:kern w:val="2"/>
          <w:sz w:val="32"/>
          <w:szCs w:val="32"/>
        </w:rPr>
      </w:pPr>
      <w:r>
        <w:rPr>
          <w:rFonts w:hint="eastAsia" w:ascii="仿宋" w:hAnsi="仿宋" w:eastAsia="仿宋" w:cs="仿宋"/>
          <w:b/>
          <w:bCs/>
          <w:color w:val="000000"/>
          <w:kern w:val="2"/>
          <w:sz w:val="32"/>
          <w:szCs w:val="32"/>
        </w:rPr>
        <w:t>7、抓好重点领域消防专项治理。</w:t>
      </w:r>
      <w:r>
        <w:rPr>
          <w:rFonts w:hint="eastAsia" w:ascii="仿宋" w:hAnsi="仿宋" w:eastAsia="仿宋" w:cs="仿宋"/>
          <w:bCs/>
          <w:color w:val="000000"/>
          <w:kern w:val="2"/>
          <w:sz w:val="32"/>
          <w:szCs w:val="32"/>
        </w:rPr>
        <w:t>根据地域、行业火灾灾害程度和消防安全问题严重程度，建立消防安全专项整治等级响应制度，按等级启动实施专项整治。</w:t>
      </w:r>
      <w:r>
        <w:rPr>
          <w:rFonts w:hint="eastAsia" w:ascii="仿宋" w:hAnsi="仿宋" w:eastAsia="仿宋" w:cs="仿宋"/>
          <w:color w:val="000000"/>
          <w:kern w:val="2"/>
          <w:sz w:val="32"/>
          <w:szCs w:val="32"/>
        </w:rPr>
        <w:t>聚焦高风险场所和重点领域，深化消防安全专项整治三年行动，加强系统治理、综合治理、源头治理。聚焦乡村振兴，紧盯农村火灾隐患整治，加强农村产业工业园、特色小镇、乡村车间、农家乐（民宿）、娱乐场所、养老院、医院、学校等农村人员密集场所消防安全管理，重点整治“城中村”、“出租屋”和“三合一”场所火灾隐患。2021年起，将高风险场所消防治理列入政府年度实事工程、民生工程。加强风险治理决策研究，研判论证新材料新产品新业态消防安全风险，建立早发现、早预警、早防范机制。健全完善重大活动消防安保调度指挥、精准研判、前置布防等工作机制，全力做好重大消防安保工作。</w:t>
      </w:r>
    </w:p>
    <w:p>
      <w:pPr>
        <w:autoSpaceDE w:val="0"/>
        <w:adjustRightInd/>
        <w:snapToGrid/>
        <w:spacing w:after="0" w:line="600" w:lineRule="exact"/>
        <w:ind w:firstLine="643" w:firstLineChars="200"/>
        <w:jc w:val="both"/>
        <w:rPr>
          <w:rFonts w:hint="eastAsia" w:ascii="仿宋" w:hAnsi="仿宋" w:eastAsia="仿宋" w:cs="仿宋"/>
          <w:bCs/>
          <w:color w:val="000000"/>
          <w:kern w:val="2"/>
          <w:sz w:val="32"/>
          <w:szCs w:val="32"/>
        </w:rPr>
      </w:pPr>
      <w:r>
        <w:rPr>
          <w:rFonts w:hint="eastAsia" w:ascii="仿宋" w:hAnsi="仿宋" w:eastAsia="仿宋" w:cs="仿宋"/>
          <w:b/>
          <w:bCs/>
          <w:color w:val="000000"/>
          <w:kern w:val="2"/>
          <w:sz w:val="32"/>
          <w:szCs w:val="32"/>
        </w:rPr>
        <w:t>8、</w:t>
      </w:r>
      <w:r>
        <w:rPr>
          <w:rFonts w:hint="eastAsia" w:ascii="仿宋" w:hAnsi="仿宋" w:eastAsia="仿宋" w:cs="仿宋"/>
          <w:b/>
          <w:color w:val="000000"/>
          <w:kern w:val="2"/>
          <w:sz w:val="32"/>
          <w:szCs w:val="32"/>
        </w:rPr>
        <w:t>完善基层消防安全综合治理。</w:t>
      </w:r>
      <w:r>
        <w:rPr>
          <w:rFonts w:hint="eastAsia" w:ascii="仿宋" w:hAnsi="仿宋" w:eastAsia="仿宋" w:cs="仿宋"/>
          <w:bCs/>
          <w:color w:val="000000"/>
          <w:kern w:val="2"/>
          <w:sz w:val="32"/>
          <w:szCs w:val="32"/>
        </w:rPr>
        <w:t>推进基层消防力量建设，推进乡镇街道的应急管理、消防安全监管力量工作模式，依托政府专职消防队建设“防灭一体”的基层消防工作组织。提高基层消防安全监管质效，强化与公安机关的协作，公安派出所开展日常消防监督检查、消防宣传教育。强化基层工作力量培训，定期对各地网格员、乡镇（街道）消防工作人员、公安派出所民警、政府专职消防队队员开展消防工作有关培训。</w:t>
      </w:r>
    </w:p>
    <w:p>
      <w:pPr>
        <w:widowControl w:val="0"/>
        <w:spacing w:after="0" w:line="600" w:lineRule="exact"/>
        <w:ind w:firstLine="643" w:firstLineChars="200"/>
        <w:jc w:val="both"/>
        <w:rPr>
          <w:rFonts w:hint="eastAsia" w:ascii="仿宋" w:hAnsi="仿宋" w:eastAsia="仿宋" w:cs="仿宋"/>
          <w:color w:val="000000"/>
          <w:sz w:val="32"/>
          <w:szCs w:val="32"/>
        </w:rPr>
      </w:pPr>
      <w:r>
        <w:rPr>
          <w:rFonts w:hint="eastAsia" w:ascii="仿宋" w:hAnsi="仿宋" w:eastAsia="仿宋" w:cs="仿宋"/>
          <w:b/>
          <w:bCs/>
          <w:color w:val="000000"/>
          <w:sz w:val="32"/>
          <w:szCs w:val="32"/>
        </w:rPr>
        <w:t>9、创新消防监管方式。</w:t>
      </w:r>
      <w:r>
        <w:rPr>
          <w:rFonts w:hint="eastAsia" w:ascii="仿宋" w:hAnsi="仿宋" w:eastAsia="仿宋" w:cs="仿宋"/>
          <w:color w:val="000000"/>
          <w:sz w:val="32"/>
          <w:szCs w:val="32"/>
        </w:rPr>
        <w:t>构建科学的事中事后监管体系，全面建立以“双随机、一公开”监管为基本手段、重点监管为补充、信用监管为基础、“互联网+监管”为支撑、火灾事故责任调查处理为保障的“五位一体”新型消防监管模式。2021年，统筹加强消防监督管理力量建设，全面推行消防员参与监督执法和消防文员协助监督执法等工作制度。依托城市小型站和乡镇专职队打造“三员一队”。厘清消防监督检查的边界，明确监督抽查范围，细化监督检查内容，实现从粗放式向精准化转变、从管事向管人转变、从查隐患向查责任转变。将消防信用监管积极融入政府信用监管平台，2021年，全面推行信用监管，建立消防安全信用备忘、管理、修复机制，提升消防信用监管效能。</w:t>
      </w:r>
    </w:p>
    <w:p>
      <w:pPr>
        <w:widowControl w:val="0"/>
        <w:spacing w:after="0" w:line="600" w:lineRule="exact"/>
        <w:ind w:firstLine="643" w:firstLineChars="200"/>
        <w:jc w:val="both"/>
        <w:rPr>
          <w:rFonts w:hint="eastAsia" w:ascii="仿宋" w:hAnsi="仿宋" w:eastAsia="仿宋" w:cs="仿宋"/>
          <w:color w:val="000000"/>
          <w:sz w:val="32"/>
          <w:szCs w:val="32"/>
        </w:rPr>
      </w:pPr>
      <w:r>
        <w:rPr>
          <w:rFonts w:hint="eastAsia" w:ascii="仿宋" w:hAnsi="仿宋" w:eastAsia="仿宋" w:cs="仿宋"/>
          <w:b/>
          <w:color w:val="000000"/>
          <w:sz w:val="32"/>
          <w:szCs w:val="32"/>
        </w:rPr>
        <w:t>10、推动社会多元共治。</w:t>
      </w:r>
      <w:r>
        <w:rPr>
          <w:rFonts w:hint="eastAsia" w:ascii="仿宋" w:hAnsi="仿宋" w:eastAsia="仿宋" w:cs="仿宋"/>
          <w:color w:val="000000"/>
          <w:sz w:val="32"/>
          <w:szCs w:val="32"/>
        </w:rPr>
        <w:t>发挥社会消防技术服务机构作用，制定消防技术服务机构服务标准，引导建立行业自律组织，形成服务规范的社会消防技术服务市场秩序。2021年，落实消防技术服务活动和人员执业标准等配套制度，加强事中事后监管和信息化平台应用，提升消防技术服务质量。鼓励注册消防工程师从事单位消防安全管理、评估和咨询工作，辅助开展日常消防监督检查。2022年起，在超高层公共建筑、大型商业综合体等场所推行注册消防工程师聘用制度，鼓励各地采取政府购买服务等方式，引进注册消防工程师团队开展高风险场所消防检查、专业评估和隐患整改。2022年至2025年，每年推动5-6个社会单位聘用注册消防工程师参与内部管理。培育引导社会消防协会、社团组织健康发展，加强自律管理，指导协调企业规范从业。到“十四五”期末，推行火灾公众责任保险，探索消防安全强制保险，发挥保险机构参与火灾风险评估和事故预防工作。</w:t>
      </w:r>
    </w:p>
    <w:p>
      <w:pPr>
        <w:widowControl w:val="0"/>
        <w:spacing w:after="0" w:line="600" w:lineRule="exact"/>
        <w:ind w:firstLine="643" w:firstLineChars="200"/>
        <w:jc w:val="both"/>
        <w:rPr>
          <w:rFonts w:hint="eastAsia" w:ascii="楷体" w:hAnsi="楷体" w:eastAsia="楷体" w:cs="楷体"/>
          <w:b/>
          <w:bCs/>
          <w:color w:val="000000"/>
          <w:sz w:val="32"/>
          <w:szCs w:val="32"/>
        </w:rPr>
      </w:pPr>
      <w:r>
        <w:rPr>
          <w:rFonts w:hint="eastAsia" w:ascii="楷体" w:hAnsi="楷体" w:eastAsia="楷体" w:cs="楷体"/>
          <w:b/>
          <w:bCs/>
          <w:color w:val="000000"/>
          <w:sz w:val="32"/>
          <w:szCs w:val="32"/>
        </w:rPr>
        <w:t>（三）巩固社会消防安全基础</w:t>
      </w:r>
    </w:p>
    <w:p>
      <w:pPr>
        <w:adjustRightInd/>
        <w:snapToGrid/>
        <w:spacing w:after="0" w:line="600" w:lineRule="exact"/>
        <w:ind w:firstLine="643" w:firstLineChars="200"/>
        <w:jc w:val="both"/>
        <w:rPr>
          <w:rFonts w:hint="eastAsia" w:ascii="仿宋" w:hAnsi="仿宋" w:eastAsia="仿宋" w:cs="仿宋"/>
          <w:b/>
          <w:color w:val="000000"/>
          <w:sz w:val="32"/>
          <w:szCs w:val="32"/>
        </w:rPr>
      </w:pPr>
      <w:r>
        <w:rPr>
          <w:rFonts w:hint="eastAsia" w:ascii="仿宋" w:hAnsi="仿宋" w:eastAsia="仿宋" w:cs="仿宋"/>
          <w:b/>
          <w:bCs/>
          <w:color w:val="000000"/>
          <w:sz w:val="32"/>
          <w:szCs w:val="32"/>
        </w:rPr>
        <w:t>11、推动消防规划编制实施。</w:t>
      </w:r>
      <w:r>
        <w:rPr>
          <w:rFonts w:hint="eastAsia" w:ascii="仿宋" w:hAnsi="仿宋" w:eastAsia="仿宋" w:cs="仿宋"/>
          <w:color w:val="000000"/>
          <w:sz w:val="32"/>
          <w:szCs w:val="32"/>
        </w:rPr>
        <w:t>2021年，将消防基础设施建设纳入经济社会发展规划、国土空间规划、城市控制性详细规划、政府年度目标任务和重点建设项目计划，</w:t>
      </w:r>
      <w:r>
        <w:rPr>
          <w:rFonts w:hint="eastAsia" w:ascii="仿宋" w:hAnsi="仿宋" w:eastAsia="仿宋" w:cs="仿宋"/>
          <w:color w:val="000000"/>
          <w:sz w:val="32"/>
          <w:szCs w:val="21"/>
        </w:rPr>
        <w:t>超前规划布局城乡公共消防设施、消防装备建设。</w:t>
      </w:r>
      <w:r>
        <w:rPr>
          <w:rFonts w:hint="eastAsia" w:ascii="仿宋" w:hAnsi="仿宋" w:eastAsia="仿宋" w:cs="仿宋"/>
          <w:color w:val="000000"/>
          <w:sz w:val="32"/>
          <w:szCs w:val="32"/>
        </w:rPr>
        <w:t>筑牢乡村火灾防控基础，依托乡村振兴规划，将乡村消防工作纳入总体规划统筹管理和系</w:t>
      </w:r>
      <w:r>
        <w:rPr>
          <w:rFonts w:hint="eastAsia" w:ascii="仿宋" w:hAnsi="仿宋" w:eastAsia="仿宋" w:cs="仿宋"/>
          <w:color w:val="000000"/>
          <w:sz w:val="32"/>
          <w:szCs w:val="21"/>
        </w:rPr>
        <w:t>统衔接。要结合乡村房改、水改、电改、灶改、路改等工作，到“十四五”期末，有计划地改造防火间距不足、木结构建筑集中连片的村庄，加快乡</w:t>
      </w:r>
      <w:r>
        <w:rPr>
          <w:rFonts w:hint="eastAsia" w:ascii="仿宋" w:hAnsi="仿宋" w:eastAsia="仿宋" w:cs="仿宋"/>
          <w:color w:val="000000"/>
          <w:sz w:val="32"/>
          <w:szCs w:val="32"/>
        </w:rPr>
        <w:t>村电气线路、炉灶等用火用电安全改造升级，有效降低火灾风险。</w:t>
      </w:r>
    </w:p>
    <w:p>
      <w:pPr>
        <w:widowControl w:val="0"/>
        <w:adjustRightInd/>
        <w:snapToGrid/>
        <w:spacing w:after="0" w:line="600" w:lineRule="exact"/>
        <w:ind w:firstLine="643" w:firstLineChars="200"/>
        <w:jc w:val="both"/>
        <w:rPr>
          <w:rFonts w:hint="eastAsia" w:ascii="仿宋" w:hAnsi="仿宋" w:eastAsia="仿宋" w:cs="仿宋"/>
          <w:kern w:val="2"/>
          <w:sz w:val="32"/>
          <w:szCs w:val="32"/>
        </w:rPr>
      </w:pPr>
      <w:r>
        <w:rPr>
          <w:rFonts w:hint="eastAsia" w:ascii="仿宋" w:hAnsi="仿宋" w:eastAsia="仿宋" w:cs="仿宋"/>
          <w:b/>
          <w:color w:val="000000"/>
          <w:sz w:val="32"/>
          <w:szCs w:val="32"/>
        </w:rPr>
        <w:t>12、优化消防设施空间规划布局。</w:t>
      </w:r>
      <w:r>
        <w:rPr>
          <w:rFonts w:hint="eastAsia" w:ascii="仿宋" w:hAnsi="仿宋" w:eastAsia="仿宋" w:cs="仿宋"/>
          <w:color w:val="000000"/>
          <w:sz w:val="32"/>
          <w:szCs w:val="32"/>
        </w:rPr>
        <w:t>根据《城市消防站建设标准》和《城市消防站设计规范》，按照“大站建强、小站建密、微站建广，织密城乡灭火救援网”思路建站原则，加快推进消防队站人员、车辆装备建设；</w:t>
      </w:r>
      <w:r>
        <w:rPr>
          <w:rFonts w:hint="eastAsia" w:ascii="仿宋" w:hAnsi="仿宋" w:eastAsia="仿宋" w:cs="仿宋"/>
          <w:sz w:val="32"/>
          <w:szCs w:val="32"/>
        </w:rPr>
        <w:t>按照“属地保障“原则，由区政府承担消防业务经费的保障任务。统筹规划建设消防队站，采取新建、改建、配建、租赁等方式及模块化、移动式消防队站等</w:t>
      </w:r>
      <w:r>
        <w:rPr>
          <w:rFonts w:hint="eastAsia" w:ascii="仿宋" w:hAnsi="仿宋" w:eastAsia="仿宋" w:cs="仿宋"/>
          <w:kern w:val="2"/>
          <w:sz w:val="32"/>
          <w:szCs w:val="32"/>
        </w:rPr>
        <w:t>多种形式，加密消防队站布点，“十四五”期间，完成新平路小型消防站建设，曙光路二级消防站迁建。</w:t>
      </w:r>
    </w:p>
    <w:p>
      <w:pPr>
        <w:widowControl w:val="0"/>
        <w:spacing w:after="0" w:line="600" w:lineRule="exact"/>
        <w:ind w:firstLine="643" w:firstLineChars="200"/>
        <w:jc w:val="both"/>
        <w:rPr>
          <w:rFonts w:hint="eastAsia" w:ascii="仿宋" w:hAnsi="仿宋" w:eastAsia="仿宋" w:cs="仿宋"/>
          <w:color w:val="FF0000"/>
          <w:sz w:val="32"/>
          <w:szCs w:val="32"/>
        </w:rPr>
      </w:pPr>
      <w:r>
        <w:rPr>
          <w:rFonts w:hint="eastAsia" w:ascii="仿宋" w:hAnsi="仿宋" w:eastAsia="仿宋" w:cs="仿宋"/>
          <w:b/>
          <w:bCs/>
          <w:color w:val="000000"/>
          <w:sz w:val="32"/>
          <w:szCs w:val="32"/>
        </w:rPr>
        <w:t>13、加强消防水源建设。</w:t>
      </w:r>
      <w:r>
        <w:rPr>
          <w:rFonts w:hint="eastAsia" w:ascii="仿宋" w:hAnsi="仿宋" w:eastAsia="仿宋" w:cs="仿宋"/>
          <w:color w:val="000000"/>
          <w:sz w:val="32"/>
          <w:szCs w:val="32"/>
        </w:rPr>
        <w:t>加强消防部门与发展改革、自然资源、住建、水务等部门的协调合作，推动市政消火栓与道路、给水管道等同步规划建设，完善市政消防水源经费保障和维护保养机制。</w:t>
      </w:r>
      <w:r>
        <w:rPr>
          <w:rFonts w:hint="eastAsia" w:ascii="仿宋" w:hAnsi="仿宋" w:eastAsia="仿宋" w:cs="仿宋"/>
          <w:color w:val="000000"/>
          <w:kern w:val="2"/>
          <w:sz w:val="32"/>
          <w:szCs w:val="32"/>
        </w:rPr>
        <w:t>结合老城改造、新城开发、工业园区建设，加快推进消防水源建设，实现建成区消防供水全覆盖。</w:t>
      </w:r>
      <w:r>
        <w:rPr>
          <w:rFonts w:hint="eastAsia" w:ascii="仿宋" w:hAnsi="仿宋" w:eastAsia="仿宋" w:cs="仿宋"/>
          <w:color w:val="000000"/>
          <w:sz w:val="32"/>
          <w:szCs w:val="32"/>
        </w:rPr>
        <w:t>加强智慧水务建设，推动智慧消火栓建设，实现实战实用。</w:t>
      </w:r>
    </w:p>
    <w:p>
      <w:pPr>
        <w:widowControl w:val="0"/>
        <w:spacing w:after="0" w:line="600" w:lineRule="exact"/>
        <w:ind w:firstLine="643" w:firstLineChars="200"/>
        <w:jc w:val="both"/>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b/>
          <w:color w:val="000000" w:themeColor="text1"/>
          <w:kern w:val="2"/>
          <w:sz w:val="32"/>
          <w:szCs w:val="32"/>
          <w14:textFill>
            <w14:solidFill>
              <w14:schemeClr w14:val="tx1"/>
            </w14:solidFill>
          </w14:textFill>
        </w:rPr>
        <w:t>14、完善消防救援装备结构。</w:t>
      </w:r>
      <w:r>
        <w:rPr>
          <w:rFonts w:hint="eastAsia" w:ascii="仿宋" w:hAnsi="仿宋" w:eastAsia="仿宋" w:cs="仿宋"/>
          <w:color w:val="000000" w:themeColor="text1"/>
          <w:kern w:val="2"/>
          <w:sz w:val="32"/>
          <w:szCs w:val="32"/>
          <w14:textFill>
            <w14:solidFill>
              <w14:schemeClr w14:val="tx1"/>
            </w14:solidFill>
          </w14:textFill>
        </w:rPr>
        <w:t>按照“优化结构、适度超前”配备原则，加快补充急需装备、升级换代常规装备、配备高精尖装备，着眼全灾种作战需要，推动装备现代化建设，配齐消防队站装备器材、配全专业队伍装备配备、配强覆盖昌江区全灾类型的特种灾害专业车辆装备。根据地区灾害事故特点，2021年配备年度装备、地震救援器材装备和水罐消防车；2022年配备年度装备、山岳救援器材装备；2023年配备年度装备、大型水罐消防车； 2024年建设完成区级综合性应急救援地震救援机动队的装备配备；2025年前完成化工、大型综合体、高层、地下等各类专业救援装备配备。到“十四五”期末，形成“适应灾种、品类齐全、功能完备、高效集成”的现代化应急救援装备体系。</w:t>
      </w:r>
    </w:p>
    <w:tbl>
      <w:tblPr>
        <w:tblStyle w:val="10"/>
        <w:tblW w:w="92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5"/>
        <w:gridCol w:w="1564"/>
        <w:gridCol w:w="1623"/>
        <w:gridCol w:w="1559"/>
        <w:gridCol w:w="1701"/>
        <w:gridCol w:w="1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9243" w:type="dxa"/>
            <w:gridSpan w:val="6"/>
            <w:vAlign w:val="center"/>
          </w:tcPr>
          <w:p>
            <w:pPr>
              <w:widowControl w:val="0"/>
              <w:adjustRightInd/>
              <w:snapToGrid/>
              <w:spacing w:after="0" w:line="600" w:lineRule="exact"/>
              <w:jc w:val="center"/>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“十四五”期间昌江区消防救援大队装备采购计划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6" w:hRule="atLeast"/>
          <w:jc w:val="center"/>
        </w:trPr>
        <w:tc>
          <w:tcPr>
            <w:tcW w:w="1295" w:type="dxa"/>
            <w:vAlign w:val="center"/>
          </w:tcPr>
          <w:p>
            <w:pPr>
              <w:widowControl w:val="0"/>
              <w:adjustRightInd/>
              <w:snapToGrid/>
              <w:spacing w:after="0" w:line="600" w:lineRule="exact"/>
              <w:jc w:val="center"/>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年份</w:t>
            </w:r>
          </w:p>
        </w:tc>
        <w:tc>
          <w:tcPr>
            <w:tcW w:w="1564" w:type="dxa"/>
            <w:vAlign w:val="center"/>
          </w:tcPr>
          <w:p>
            <w:pPr>
              <w:widowControl w:val="0"/>
              <w:adjustRightInd/>
              <w:snapToGrid/>
              <w:spacing w:after="0" w:line="600" w:lineRule="exact"/>
              <w:jc w:val="center"/>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车辆</w:t>
            </w:r>
          </w:p>
          <w:p>
            <w:pPr>
              <w:widowControl w:val="0"/>
              <w:adjustRightInd/>
              <w:snapToGrid/>
              <w:spacing w:after="0" w:line="600" w:lineRule="exact"/>
              <w:jc w:val="center"/>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（万元）</w:t>
            </w:r>
          </w:p>
        </w:tc>
        <w:tc>
          <w:tcPr>
            <w:tcW w:w="1623" w:type="dxa"/>
            <w:vAlign w:val="center"/>
          </w:tcPr>
          <w:p>
            <w:pPr>
              <w:widowControl w:val="0"/>
              <w:adjustRightInd/>
              <w:snapToGrid/>
              <w:spacing w:after="0" w:line="600" w:lineRule="exact"/>
              <w:jc w:val="center"/>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特种装备</w:t>
            </w:r>
          </w:p>
          <w:p>
            <w:pPr>
              <w:widowControl w:val="0"/>
              <w:adjustRightInd/>
              <w:snapToGrid/>
              <w:spacing w:after="0" w:line="600" w:lineRule="exact"/>
              <w:jc w:val="center"/>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（万元）</w:t>
            </w:r>
          </w:p>
        </w:tc>
        <w:tc>
          <w:tcPr>
            <w:tcW w:w="1559" w:type="dxa"/>
            <w:vAlign w:val="center"/>
          </w:tcPr>
          <w:p>
            <w:pPr>
              <w:widowControl w:val="0"/>
              <w:adjustRightInd/>
              <w:snapToGrid/>
              <w:spacing w:after="0" w:line="600" w:lineRule="exact"/>
              <w:jc w:val="center"/>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常规器材</w:t>
            </w:r>
          </w:p>
          <w:p>
            <w:pPr>
              <w:widowControl w:val="0"/>
              <w:adjustRightInd/>
              <w:snapToGrid/>
              <w:spacing w:after="0" w:line="600" w:lineRule="exact"/>
              <w:jc w:val="center"/>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（万元）</w:t>
            </w:r>
          </w:p>
        </w:tc>
        <w:tc>
          <w:tcPr>
            <w:tcW w:w="1701" w:type="dxa"/>
            <w:vAlign w:val="center"/>
          </w:tcPr>
          <w:p>
            <w:pPr>
              <w:widowControl w:val="0"/>
              <w:adjustRightInd/>
              <w:snapToGrid/>
              <w:spacing w:after="0" w:line="600" w:lineRule="exact"/>
              <w:jc w:val="center"/>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灭火药剂</w:t>
            </w:r>
          </w:p>
          <w:p>
            <w:pPr>
              <w:widowControl w:val="0"/>
              <w:adjustRightInd/>
              <w:snapToGrid/>
              <w:spacing w:after="0" w:line="600" w:lineRule="exact"/>
              <w:jc w:val="center"/>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（万元）</w:t>
            </w:r>
          </w:p>
        </w:tc>
        <w:tc>
          <w:tcPr>
            <w:tcW w:w="1501" w:type="dxa"/>
            <w:vAlign w:val="center"/>
          </w:tcPr>
          <w:p>
            <w:pPr>
              <w:widowControl w:val="0"/>
              <w:adjustRightInd/>
              <w:snapToGrid/>
              <w:spacing w:after="0" w:line="600" w:lineRule="exact"/>
              <w:jc w:val="center"/>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总价</w:t>
            </w:r>
          </w:p>
          <w:p>
            <w:pPr>
              <w:widowControl w:val="0"/>
              <w:adjustRightInd/>
              <w:snapToGrid/>
              <w:spacing w:after="0" w:line="600" w:lineRule="exact"/>
              <w:jc w:val="center"/>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295" w:type="dxa"/>
            <w:vAlign w:val="center"/>
          </w:tcPr>
          <w:p>
            <w:pPr>
              <w:widowControl w:val="0"/>
              <w:adjustRightInd/>
              <w:snapToGrid/>
              <w:spacing w:after="0" w:line="600" w:lineRule="exact"/>
              <w:jc w:val="center"/>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2021</w:t>
            </w:r>
          </w:p>
        </w:tc>
        <w:tc>
          <w:tcPr>
            <w:tcW w:w="1564" w:type="dxa"/>
            <w:vAlign w:val="center"/>
          </w:tcPr>
          <w:p>
            <w:pPr>
              <w:widowControl w:val="0"/>
              <w:adjustRightInd/>
              <w:snapToGrid/>
              <w:spacing w:after="0" w:line="600" w:lineRule="exact"/>
              <w:jc w:val="center"/>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120</w:t>
            </w:r>
          </w:p>
        </w:tc>
        <w:tc>
          <w:tcPr>
            <w:tcW w:w="1623" w:type="dxa"/>
            <w:vAlign w:val="center"/>
          </w:tcPr>
          <w:p>
            <w:pPr>
              <w:widowControl w:val="0"/>
              <w:adjustRightInd/>
              <w:snapToGrid/>
              <w:spacing w:after="0" w:line="600" w:lineRule="exact"/>
              <w:jc w:val="center"/>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30</w:t>
            </w:r>
          </w:p>
        </w:tc>
        <w:tc>
          <w:tcPr>
            <w:tcW w:w="1559" w:type="dxa"/>
            <w:vAlign w:val="center"/>
          </w:tcPr>
          <w:p>
            <w:pPr>
              <w:widowControl w:val="0"/>
              <w:adjustRightInd/>
              <w:snapToGrid/>
              <w:spacing w:after="0" w:line="600" w:lineRule="exact"/>
              <w:jc w:val="center"/>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47</w:t>
            </w:r>
          </w:p>
        </w:tc>
        <w:tc>
          <w:tcPr>
            <w:tcW w:w="1701" w:type="dxa"/>
            <w:vAlign w:val="center"/>
          </w:tcPr>
          <w:p>
            <w:pPr>
              <w:widowControl w:val="0"/>
              <w:adjustRightInd/>
              <w:snapToGrid/>
              <w:spacing w:after="0" w:line="600" w:lineRule="exact"/>
              <w:jc w:val="center"/>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0</w:t>
            </w:r>
          </w:p>
        </w:tc>
        <w:tc>
          <w:tcPr>
            <w:tcW w:w="1501" w:type="dxa"/>
            <w:vAlign w:val="center"/>
          </w:tcPr>
          <w:p>
            <w:pPr>
              <w:widowControl w:val="0"/>
              <w:adjustRightInd/>
              <w:snapToGrid/>
              <w:spacing w:after="0" w:line="600" w:lineRule="exact"/>
              <w:jc w:val="center"/>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197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295" w:type="dxa"/>
            <w:vAlign w:val="center"/>
          </w:tcPr>
          <w:p>
            <w:pPr>
              <w:widowControl w:val="0"/>
              <w:adjustRightInd/>
              <w:snapToGrid/>
              <w:spacing w:after="0" w:line="600" w:lineRule="exact"/>
              <w:jc w:val="center"/>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2022</w:t>
            </w:r>
          </w:p>
        </w:tc>
        <w:tc>
          <w:tcPr>
            <w:tcW w:w="1564" w:type="dxa"/>
            <w:vAlign w:val="center"/>
          </w:tcPr>
          <w:p>
            <w:pPr>
              <w:widowControl w:val="0"/>
              <w:adjustRightInd/>
              <w:snapToGrid/>
              <w:spacing w:after="0" w:line="600" w:lineRule="exact"/>
              <w:jc w:val="center"/>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200</w:t>
            </w:r>
          </w:p>
        </w:tc>
        <w:tc>
          <w:tcPr>
            <w:tcW w:w="1623" w:type="dxa"/>
            <w:vAlign w:val="center"/>
          </w:tcPr>
          <w:p>
            <w:pPr>
              <w:widowControl w:val="0"/>
              <w:adjustRightInd/>
              <w:snapToGrid/>
              <w:spacing w:after="0" w:line="600" w:lineRule="exact"/>
              <w:jc w:val="center"/>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52</w:t>
            </w:r>
          </w:p>
        </w:tc>
        <w:tc>
          <w:tcPr>
            <w:tcW w:w="1559" w:type="dxa"/>
            <w:vAlign w:val="center"/>
          </w:tcPr>
          <w:p>
            <w:pPr>
              <w:widowControl w:val="0"/>
              <w:adjustRightInd/>
              <w:snapToGrid/>
              <w:spacing w:after="0" w:line="600" w:lineRule="exact"/>
              <w:jc w:val="center"/>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55</w:t>
            </w:r>
          </w:p>
        </w:tc>
        <w:tc>
          <w:tcPr>
            <w:tcW w:w="1701" w:type="dxa"/>
            <w:vAlign w:val="center"/>
          </w:tcPr>
          <w:p>
            <w:pPr>
              <w:widowControl w:val="0"/>
              <w:adjustRightInd/>
              <w:snapToGrid/>
              <w:spacing w:after="0" w:line="600" w:lineRule="exact"/>
              <w:jc w:val="center"/>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2</w:t>
            </w:r>
          </w:p>
        </w:tc>
        <w:tc>
          <w:tcPr>
            <w:tcW w:w="1501" w:type="dxa"/>
            <w:vAlign w:val="center"/>
          </w:tcPr>
          <w:p>
            <w:pPr>
              <w:widowControl w:val="0"/>
              <w:adjustRightInd/>
              <w:snapToGrid/>
              <w:spacing w:after="0" w:line="600" w:lineRule="exact"/>
              <w:jc w:val="center"/>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295" w:type="dxa"/>
            <w:vAlign w:val="center"/>
          </w:tcPr>
          <w:p>
            <w:pPr>
              <w:widowControl w:val="0"/>
              <w:adjustRightInd/>
              <w:snapToGrid/>
              <w:spacing w:after="0" w:line="600" w:lineRule="exact"/>
              <w:jc w:val="center"/>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2023</w:t>
            </w:r>
          </w:p>
        </w:tc>
        <w:tc>
          <w:tcPr>
            <w:tcW w:w="1564" w:type="dxa"/>
            <w:vAlign w:val="center"/>
          </w:tcPr>
          <w:p>
            <w:pPr>
              <w:widowControl w:val="0"/>
              <w:adjustRightInd/>
              <w:snapToGrid/>
              <w:spacing w:after="0" w:line="600" w:lineRule="exact"/>
              <w:jc w:val="center"/>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200</w:t>
            </w:r>
          </w:p>
        </w:tc>
        <w:tc>
          <w:tcPr>
            <w:tcW w:w="1623" w:type="dxa"/>
            <w:vAlign w:val="center"/>
          </w:tcPr>
          <w:p>
            <w:pPr>
              <w:widowControl w:val="0"/>
              <w:adjustRightInd/>
              <w:snapToGrid/>
              <w:spacing w:after="0" w:line="600" w:lineRule="exact"/>
              <w:jc w:val="center"/>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35</w:t>
            </w:r>
          </w:p>
        </w:tc>
        <w:tc>
          <w:tcPr>
            <w:tcW w:w="1559" w:type="dxa"/>
            <w:vAlign w:val="center"/>
          </w:tcPr>
          <w:p>
            <w:pPr>
              <w:widowControl w:val="0"/>
              <w:adjustRightInd/>
              <w:snapToGrid/>
              <w:spacing w:after="0" w:line="600" w:lineRule="exact"/>
              <w:jc w:val="center"/>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70</w:t>
            </w:r>
          </w:p>
        </w:tc>
        <w:tc>
          <w:tcPr>
            <w:tcW w:w="1701" w:type="dxa"/>
            <w:vAlign w:val="center"/>
          </w:tcPr>
          <w:p>
            <w:pPr>
              <w:widowControl w:val="0"/>
              <w:adjustRightInd/>
              <w:snapToGrid/>
              <w:spacing w:after="0" w:line="600" w:lineRule="exact"/>
              <w:jc w:val="center"/>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2.4</w:t>
            </w:r>
          </w:p>
        </w:tc>
        <w:tc>
          <w:tcPr>
            <w:tcW w:w="1501" w:type="dxa"/>
            <w:vAlign w:val="center"/>
          </w:tcPr>
          <w:p>
            <w:pPr>
              <w:widowControl w:val="0"/>
              <w:adjustRightInd/>
              <w:snapToGrid/>
              <w:spacing w:after="0" w:line="600" w:lineRule="exact"/>
              <w:jc w:val="center"/>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307.4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295" w:type="dxa"/>
            <w:vAlign w:val="center"/>
          </w:tcPr>
          <w:p>
            <w:pPr>
              <w:widowControl w:val="0"/>
              <w:adjustRightInd/>
              <w:snapToGrid/>
              <w:spacing w:after="0" w:line="600" w:lineRule="exact"/>
              <w:jc w:val="center"/>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2024</w:t>
            </w:r>
          </w:p>
        </w:tc>
        <w:tc>
          <w:tcPr>
            <w:tcW w:w="1564" w:type="dxa"/>
            <w:vAlign w:val="center"/>
          </w:tcPr>
          <w:p>
            <w:pPr>
              <w:widowControl w:val="0"/>
              <w:adjustRightInd/>
              <w:snapToGrid/>
              <w:spacing w:after="0" w:line="600" w:lineRule="exact"/>
              <w:jc w:val="center"/>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280</w:t>
            </w:r>
          </w:p>
        </w:tc>
        <w:tc>
          <w:tcPr>
            <w:tcW w:w="1623" w:type="dxa"/>
            <w:vAlign w:val="center"/>
          </w:tcPr>
          <w:p>
            <w:pPr>
              <w:widowControl w:val="0"/>
              <w:adjustRightInd/>
              <w:snapToGrid/>
              <w:spacing w:after="0" w:line="600" w:lineRule="exact"/>
              <w:jc w:val="center"/>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10</w:t>
            </w:r>
          </w:p>
        </w:tc>
        <w:tc>
          <w:tcPr>
            <w:tcW w:w="1559" w:type="dxa"/>
            <w:vAlign w:val="center"/>
          </w:tcPr>
          <w:p>
            <w:pPr>
              <w:widowControl w:val="0"/>
              <w:adjustRightInd/>
              <w:snapToGrid/>
              <w:spacing w:after="0" w:line="600" w:lineRule="exact"/>
              <w:jc w:val="center"/>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65</w:t>
            </w:r>
          </w:p>
        </w:tc>
        <w:tc>
          <w:tcPr>
            <w:tcW w:w="1701" w:type="dxa"/>
            <w:vAlign w:val="center"/>
          </w:tcPr>
          <w:p>
            <w:pPr>
              <w:widowControl w:val="0"/>
              <w:adjustRightInd/>
              <w:snapToGrid/>
              <w:spacing w:after="0" w:line="600" w:lineRule="exact"/>
              <w:jc w:val="center"/>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2.2</w:t>
            </w:r>
          </w:p>
        </w:tc>
        <w:tc>
          <w:tcPr>
            <w:tcW w:w="1501" w:type="dxa"/>
            <w:vAlign w:val="center"/>
          </w:tcPr>
          <w:p>
            <w:pPr>
              <w:widowControl w:val="0"/>
              <w:adjustRightInd/>
              <w:snapToGrid/>
              <w:spacing w:after="0" w:line="600" w:lineRule="exact"/>
              <w:jc w:val="center"/>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357.2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295" w:type="dxa"/>
            <w:vAlign w:val="center"/>
          </w:tcPr>
          <w:p>
            <w:pPr>
              <w:widowControl w:val="0"/>
              <w:adjustRightInd/>
              <w:snapToGrid/>
              <w:spacing w:after="0" w:line="600" w:lineRule="exact"/>
              <w:jc w:val="center"/>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2025</w:t>
            </w:r>
          </w:p>
        </w:tc>
        <w:tc>
          <w:tcPr>
            <w:tcW w:w="1564" w:type="dxa"/>
            <w:vAlign w:val="center"/>
          </w:tcPr>
          <w:p>
            <w:pPr>
              <w:widowControl w:val="0"/>
              <w:adjustRightInd/>
              <w:snapToGrid/>
              <w:spacing w:after="0" w:line="600" w:lineRule="exact"/>
              <w:jc w:val="center"/>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260</w:t>
            </w:r>
          </w:p>
        </w:tc>
        <w:tc>
          <w:tcPr>
            <w:tcW w:w="1623" w:type="dxa"/>
            <w:vAlign w:val="center"/>
          </w:tcPr>
          <w:p>
            <w:pPr>
              <w:widowControl w:val="0"/>
              <w:adjustRightInd/>
              <w:snapToGrid/>
              <w:spacing w:after="0" w:line="600" w:lineRule="exact"/>
              <w:jc w:val="center"/>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30</w:t>
            </w:r>
          </w:p>
        </w:tc>
        <w:tc>
          <w:tcPr>
            <w:tcW w:w="1559" w:type="dxa"/>
            <w:vAlign w:val="center"/>
          </w:tcPr>
          <w:p>
            <w:pPr>
              <w:widowControl w:val="0"/>
              <w:adjustRightInd/>
              <w:snapToGrid/>
              <w:spacing w:after="0" w:line="600" w:lineRule="exact"/>
              <w:jc w:val="center"/>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75</w:t>
            </w:r>
          </w:p>
        </w:tc>
        <w:tc>
          <w:tcPr>
            <w:tcW w:w="1701" w:type="dxa"/>
            <w:vAlign w:val="center"/>
          </w:tcPr>
          <w:p>
            <w:pPr>
              <w:widowControl w:val="0"/>
              <w:adjustRightInd/>
              <w:snapToGrid/>
              <w:spacing w:after="0" w:line="600" w:lineRule="exact"/>
              <w:jc w:val="center"/>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2.6</w:t>
            </w:r>
          </w:p>
        </w:tc>
        <w:tc>
          <w:tcPr>
            <w:tcW w:w="1501" w:type="dxa"/>
            <w:vAlign w:val="center"/>
          </w:tcPr>
          <w:p>
            <w:pPr>
              <w:widowControl w:val="0"/>
              <w:adjustRightInd/>
              <w:snapToGrid/>
              <w:spacing w:after="0" w:line="600" w:lineRule="exact"/>
              <w:jc w:val="center"/>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367.6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295" w:type="dxa"/>
            <w:vAlign w:val="center"/>
          </w:tcPr>
          <w:p>
            <w:pPr>
              <w:widowControl w:val="0"/>
              <w:adjustRightInd/>
              <w:snapToGrid/>
              <w:spacing w:after="0" w:line="600" w:lineRule="exact"/>
              <w:jc w:val="center"/>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合计</w:t>
            </w:r>
          </w:p>
        </w:tc>
        <w:tc>
          <w:tcPr>
            <w:tcW w:w="1564" w:type="dxa"/>
            <w:vAlign w:val="center"/>
          </w:tcPr>
          <w:p>
            <w:pPr>
              <w:widowControl w:val="0"/>
              <w:adjustRightInd/>
              <w:snapToGrid/>
              <w:spacing w:after="0" w:line="600" w:lineRule="exact"/>
              <w:jc w:val="center"/>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1060</w:t>
            </w:r>
          </w:p>
        </w:tc>
        <w:tc>
          <w:tcPr>
            <w:tcW w:w="1623" w:type="dxa"/>
            <w:vAlign w:val="center"/>
          </w:tcPr>
          <w:p>
            <w:pPr>
              <w:widowControl w:val="0"/>
              <w:adjustRightInd/>
              <w:snapToGrid/>
              <w:spacing w:after="0" w:line="600" w:lineRule="exact"/>
              <w:jc w:val="center"/>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157</w:t>
            </w:r>
          </w:p>
        </w:tc>
        <w:tc>
          <w:tcPr>
            <w:tcW w:w="1559" w:type="dxa"/>
            <w:vAlign w:val="center"/>
          </w:tcPr>
          <w:p>
            <w:pPr>
              <w:widowControl w:val="0"/>
              <w:adjustRightInd/>
              <w:snapToGrid/>
              <w:spacing w:after="0" w:line="600" w:lineRule="exact"/>
              <w:jc w:val="center"/>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312</w:t>
            </w:r>
          </w:p>
        </w:tc>
        <w:tc>
          <w:tcPr>
            <w:tcW w:w="1701" w:type="dxa"/>
            <w:vAlign w:val="center"/>
          </w:tcPr>
          <w:p>
            <w:pPr>
              <w:widowControl w:val="0"/>
              <w:adjustRightInd/>
              <w:snapToGrid/>
              <w:spacing w:after="0" w:line="600" w:lineRule="exact"/>
              <w:jc w:val="center"/>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9.2</w:t>
            </w:r>
          </w:p>
        </w:tc>
        <w:tc>
          <w:tcPr>
            <w:tcW w:w="1501" w:type="dxa"/>
            <w:vAlign w:val="center"/>
          </w:tcPr>
          <w:p>
            <w:pPr>
              <w:widowControl w:val="0"/>
              <w:adjustRightInd/>
              <w:snapToGrid/>
              <w:spacing w:after="0" w:line="600" w:lineRule="exact"/>
              <w:jc w:val="center"/>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1538.2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9243" w:type="dxa"/>
            <w:gridSpan w:val="6"/>
            <w:vAlign w:val="center"/>
          </w:tcPr>
          <w:p>
            <w:pPr>
              <w:widowControl w:val="0"/>
              <w:adjustRightInd/>
              <w:snapToGrid/>
              <w:spacing w:after="0" w:line="600" w:lineRule="exac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备注：截止2025年12月31日</w:t>
            </w:r>
          </w:p>
        </w:tc>
      </w:tr>
    </w:tbl>
    <w:p>
      <w:pPr>
        <w:widowControl w:val="0"/>
        <w:spacing w:after="0" w:line="600" w:lineRule="exact"/>
        <w:ind w:firstLine="643" w:firstLineChars="200"/>
        <w:jc w:val="both"/>
        <w:rPr>
          <w:rFonts w:hint="eastAsia" w:ascii="楷体" w:hAnsi="楷体" w:eastAsia="楷体" w:cs="楷体"/>
          <w:b/>
          <w:color w:val="000000"/>
          <w:spacing w:val="-4"/>
          <w:sz w:val="32"/>
          <w:szCs w:val="32"/>
        </w:rPr>
      </w:pPr>
      <w:r>
        <w:rPr>
          <w:rFonts w:hint="eastAsia" w:ascii="楷体" w:hAnsi="楷体" w:eastAsia="楷体" w:cs="楷体"/>
          <w:b/>
          <w:color w:val="000000"/>
          <w:sz w:val="32"/>
          <w:szCs w:val="32"/>
        </w:rPr>
        <w:t>（</w:t>
      </w:r>
      <w:r>
        <w:rPr>
          <w:rFonts w:hint="eastAsia" w:ascii="楷体" w:hAnsi="楷体" w:eastAsia="楷体" w:cs="楷体"/>
          <w:b/>
          <w:bCs/>
          <w:color w:val="000000"/>
          <w:sz w:val="32"/>
          <w:szCs w:val="32"/>
        </w:rPr>
        <w:t>四）夯实</w:t>
      </w:r>
      <w:r>
        <w:rPr>
          <w:rFonts w:hint="eastAsia" w:ascii="楷体" w:hAnsi="楷体" w:eastAsia="楷体" w:cs="楷体"/>
          <w:b/>
          <w:color w:val="000000"/>
          <w:sz w:val="32"/>
          <w:szCs w:val="32"/>
        </w:rPr>
        <w:t>应急救援体系建设</w:t>
      </w:r>
    </w:p>
    <w:p>
      <w:pPr>
        <w:widowControl w:val="0"/>
        <w:spacing w:after="0" w:line="600" w:lineRule="exact"/>
        <w:ind w:firstLine="627" w:firstLineChars="200"/>
        <w:jc w:val="both"/>
        <w:rPr>
          <w:rFonts w:hint="eastAsia" w:ascii="仿宋" w:hAnsi="仿宋" w:eastAsia="仿宋" w:cs="仿宋"/>
          <w:color w:val="000000" w:themeColor="text1"/>
          <w:spacing w:val="-4"/>
          <w:sz w:val="32"/>
          <w:szCs w:val="32"/>
          <w14:textFill>
            <w14:solidFill>
              <w14:schemeClr w14:val="tx1"/>
            </w14:solidFill>
          </w14:textFill>
        </w:rPr>
      </w:pPr>
      <w:r>
        <w:rPr>
          <w:rFonts w:hint="eastAsia" w:ascii="仿宋" w:hAnsi="仿宋" w:eastAsia="仿宋" w:cs="仿宋"/>
          <w:b/>
          <w:color w:val="000000" w:themeColor="text1"/>
          <w:spacing w:val="-4"/>
          <w:sz w:val="32"/>
          <w:szCs w:val="32"/>
          <w14:textFill>
            <w14:solidFill>
              <w14:schemeClr w14:val="tx1"/>
            </w14:solidFill>
          </w14:textFill>
        </w:rPr>
        <w:t>15、做强应急救援主力军。</w:t>
      </w:r>
      <w:r>
        <w:rPr>
          <w:rFonts w:hint="eastAsia" w:ascii="仿宋" w:hAnsi="仿宋" w:eastAsia="仿宋" w:cs="仿宋"/>
          <w:color w:val="000000" w:themeColor="text1"/>
          <w:spacing w:val="-4"/>
          <w:sz w:val="32"/>
          <w:szCs w:val="32"/>
          <w14:textFill>
            <w14:solidFill>
              <w14:schemeClr w14:val="tx1"/>
            </w14:solidFill>
          </w14:textFill>
        </w:rPr>
        <w:t>进一步加强高层建筑、大跨度建筑、地下场所、化工场所4类攻坚专业队建设，深化技战术研究和训练，优化执勤模式和类型灾害战斗编组，提升队伍应对特殊、复杂灾害事故能力。建强区地震灾害救援、抗洪抢险、山岳救援处置专业队。根据典型灾害对象实战化训练需求，建立专业队伍等实训设施。强化应急救援联勤联训，组织区各应急力量开展经常性的综合应急救援拉动演练。完善区域灭火应急救援协作框架，密切联动、整合资源。</w:t>
      </w:r>
    </w:p>
    <w:p>
      <w:pPr>
        <w:widowControl w:val="0"/>
        <w:spacing w:after="0" w:line="600" w:lineRule="exact"/>
        <w:ind w:firstLine="627" w:firstLineChars="200"/>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pacing w:val="-4"/>
          <w:sz w:val="32"/>
          <w:szCs w:val="32"/>
          <w14:textFill>
            <w14:solidFill>
              <w14:schemeClr w14:val="tx1"/>
            </w14:solidFill>
          </w14:textFill>
        </w:rPr>
        <w:t>16、做精</w:t>
      </w:r>
      <w:r>
        <w:rPr>
          <w:rFonts w:hint="eastAsia" w:ascii="仿宋" w:hAnsi="仿宋" w:eastAsia="仿宋" w:cs="仿宋"/>
          <w:b/>
          <w:bCs/>
          <w:color w:val="000000" w:themeColor="text1"/>
          <w:sz w:val="32"/>
          <w:szCs w:val="32"/>
          <w14:textFill>
            <w14:solidFill>
              <w14:schemeClr w14:val="tx1"/>
            </w14:solidFill>
          </w14:textFill>
        </w:rPr>
        <w:t>多种形式消防力量。</w:t>
      </w:r>
      <w:r>
        <w:rPr>
          <w:rFonts w:hint="eastAsia" w:ascii="仿宋" w:hAnsi="仿宋" w:eastAsia="仿宋" w:cs="仿宋"/>
          <w:color w:val="000000" w:themeColor="text1"/>
          <w:spacing w:val="-4"/>
          <w:sz w:val="32"/>
          <w:szCs w:val="32"/>
          <w14:textFill>
            <w14:solidFill>
              <w14:schemeClr w14:val="tx1"/>
            </w14:solidFill>
          </w14:textFill>
        </w:rPr>
        <w:t>加强政府专职消防队。进一步加强政府专职消防队建设，提高专职消防队待遇，提升火灾初期火灾扑救效率，起到“救早、灭小”的效果，避免“小火酿成大灾”。</w:t>
      </w:r>
      <w:r>
        <w:rPr>
          <w:rFonts w:hint="eastAsia" w:ascii="仿宋" w:hAnsi="仿宋" w:eastAsia="仿宋" w:cs="仿宋"/>
          <w:color w:val="000000" w:themeColor="text1"/>
          <w:sz w:val="32"/>
          <w:szCs w:val="32"/>
          <w14:textFill>
            <w14:solidFill>
              <w14:schemeClr w14:val="tx1"/>
            </w14:solidFill>
          </w14:textFill>
        </w:rPr>
        <w:t xml:space="preserve"> 到2025年，新建城市政府专职消防站2个，新增城市政府专职消防员25人；推进乡镇消防力量建设，规范达标乡镇政府专职消防队3个，保证每个乡镇专职队不少于5名队员。</w:t>
      </w:r>
      <w:r>
        <w:rPr>
          <w:rFonts w:hint="eastAsia" w:ascii="仿宋" w:hAnsi="仿宋" w:eastAsia="仿宋" w:cs="仿宋"/>
          <w:color w:val="000000" w:themeColor="text1"/>
          <w:spacing w:val="-4"/>
          <w:sz w:val="32"/>
          <w:szCs w:val="32"/>
          <w14:textFill>
            <w14:solidFill>
              <w14:schemeClr w14:val="tx1"/>
            </w14:solidFill>
          </w14:textFill>
        </w:rPr>
        <w:t>继续加强消防安全重点单位、社区、街道微型消防站建设，强化微型消防站培训和拉动演练，建立定期培训演练的常态机制。</w:t>
      </w:r>
      <w:r>
        <w:rPr>
          <w:rFonts w:hint="eastAsia" w:ascii="仿宋" w:hAnsi="仿宋" w:eastAsia="仿宋" w:cs="仿宋"/>
          <w:color w:val="000000" w:themeColor="text1"/>
          <w:sz w:val="32"/>
          <w:szCs w:val="32"/>
          <w14:textFill>
            <w14:solidFill>
              <w14:schemeClr w14:val="tx1"/>
            </w14:solidFill>
          </w14:textFill>
        </w:rPr>
        <w:t>倡导红十字会、保险机构以及其他社会公益组织积极投身防灾减灾事业。</w:t>
      </w:r>
    </w:p>
    <w:p>
      <w:pPr>
        <w:widowControl w:val="0"/>
        <w:spacing w:after="0" w:line="600" w:lineRule="exact"/>
        <w:ind w:firstLine="627" w:firstLineChars="200"/>
        <w:jc w:val="both"/>
        <w:rPr>
          <w:rFonts w:hint="eastAsia" w:ascii="仿宋" w:hAnsi="仿宋" w:eastAsia="仿宋" w:cs="仿宋"/>
          <w:color w:val="000000" w:themeColor="text1"/>
          <w:spacing w:val="-4"/>
          <w:sz w:val="32"/>
          <w:szCs w:val="32"/>
          <w14:textFill>
            <w14:solidFill>
              <w14:schemeClr w14:val="tx1"/>
            </w14:solidFill>
          </w14:textFill>
        </w:rPr>
      </w:pPr>
      <w:r>
        <w:rPr>
          <w:rFonts w:hint="eastAsia" w:ascii="仿宋" w:hAnsi="仿宋" w:eastAsia="仿宋" w:cs="仿宋"/>
          <w:b/>
          <w:color w:val="000000" w:themeColor="text1"/>
          <w:spacing w:val="-4"/>
          <w:sz w:val="32"/>
          <w:szCs w:val="32"/>
          <w14:textFill>
            <w14:solidFill>
              <w14:schemeClr w14:val="tx1"/>
            </w14:solidFill>
          </w14:textFill>
        </w:rPr>
        <w:t>17、做实应急救援专业人才队伍建设。</w:t>
      </w:r>
      <w:r>
        <w:rPr>
          <w:rFonts w:hint="eastAsia" w:ascii="仿宋" w:hAnsi="仿宋" w:eastAsia="仿宋" w:cs="仿宋"/>
          <w:color w:val="000000" w:themeColor="text1"/>
          <w:spacing w:val="-4"/>
          <w:sz w:val="32"/>
          <w:szCs w:val="32"/>
          <w14:textFill>
            <w14:solidFill>
              <w14:schemeClr w14:val="tx1"/>
            </w14:solidFill>
          </w14:textFill>
        </w:rPr>
        <w:t>完善灭火救援专家组制度，适时调整、增补相关行业和领域专家，充实专家库；健全专家组运作机制，强化会商研讨、应急响应和辅助决策，为各类应急救援提供“智库”支持。鼓励专业技术职称评定，培育高层、地下、化工灭火救援指挥、消防装备管理等专业人才。</w:t>
      </w:r>
    </w:p>
    <w:p>
      <w:pPr>
        <w:widowControl w:val="0"/>
        <w:spacing w:after="0" w:line="600" w:lineRule="exact"/>
        <w:ind w:firstLine="643" w:firstLineChars="200"/>
        <w:jc w:val="both"/>
        <w:rPr>
          <w:rFonts w:hint="eastAsia" w:ascii="仿宋" w:hAnsi="仿宋" w:eastAsia="仿宋" w:cs="仿宋"/>
          <w:color w:val="000000"/>
          <w:spacing w:val="-4"/>
          <w:sz w:val="32"/>
          <w:szCs w:val="32"/>
        </w:rPr>
      </w:pPr>
      <w:r>
        <w:rPr>
          <w:rFonts w:hint="eastAsia" w:ascii="仿宋" w:hAnsi="仿宋" w:eastAsia="仿宋" w:cs="仿宋"/>
          <w:b/>
          <w:bCs/>
          <w:color w:val="000000"/>
          <w:sz w:val="32"/>
          <w:szCs w:val="32"/>
        </w:rPr>
        <w:t>18、做好应急救援战勤保障工作。</w:t>
      </w:r>
      <w:r>
        <w:rPr>
          <w:rFonts w:hint="eastAsia" w:ascii="仿宋" w:hAnsi="仿宋" w:eastAsia="仿宋" w:cs="仿宋"/>
          <w:bCs/>
          <w:sz w:val="32"/>
          <w:szCs w:val="32"/>
        </w:rPr>
        <w:t>加强专业人才队伍建设,2021年至2025年,大队逐步形成驾驶员、装备技师、医疗救护、厨师、汽修专业人才不少于10人战勤保障队伍。</w:t>
      </w:r>
      <w:r>
        <w:rPr>
          <w:rFonts w:hint="eastAsia" w:ascii="仿宋" w:hAnsi="仿宋" w:eastAsia="仿宋" w:cs="仿宋"/>
          <w:spacing w:val="-4"/>
          <w:sz w:val="32"/>
          <w:szCs w:val="32"/>
        </w:rPr>
        <w:t>按照各类灾害事故专业队器材配置标准，2021年至2025年逐步配齐配强地震、水域、山岳救援专业器材装备。2021年大队建立</w:t>
      </w:r>
      <w:r>
        <w:rPr>
          <w:rFonts w:hint="eastAsia" w:ascii="仿宋" w:hAnsi="仿宋" w:eastAsia="仿宋" w:cs="仿宋"/>
          <w:color w:val="000000"/>
          <w:spacing w:val="-4"/>
          <w:sz w:val="32"/>
          <w:szCs w:val="32"/>
        </w:rPr>
        <w:t>应急物资储备库，完善72小时生活物资保障持续保障制度，分类分级储存应急保障物资和装备。</w:t>
      </w:r>
    </w:p>
    <w:p>
      <w:pPr>
        <w:widowControl w:val="0"/>
        <w:spacing w:after="0" w:line="600" w:lineRule="exact"/>
        <w:ind w:firstLine="627" w:firstLineChars="200"/>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pacing w:val="-4"/>
          <w:sz w:val="32"/>
          <w:szCs w:val="32"/>
          <w14:textFill>
            <w14:solidFill>
              <w14:schemeClr w14:val="tx1"/>
            </w14:solidFill>
          </w14:textFill>
        </w:rPr>
        <w:t>19、做细考核评比体系。</w:t>
      </w:r>
      <w:r>
        <w:rPr>
          <w:rFonts w:hint="eastAsia" w:ascii="仿宋" w:hAnsi="仿宋" w:eastAsia="仿宋" w:cs="仿宋"/>
          <w:color w:val="000000" w:themeColor="text1"/>
          <w:sz w:val="32"/>
          <w:szCs w:val="32"/>
          <w14:textFill>
            <w14:solidFill>
              <w14:schemeClr w14:val="tx1"/>
            </w14:solidFill>
          </w14:textFill>
        </w:rPr>
        <w:t>以全面落实《消防救援队伍执勤业务训练大纲》为牵引，分层级、分岗位、分灾种开展竞赛考核活动，大幅增加实战指挥类、技能应用类、装备实操类、紧急避险类科目比重，积极探索整建制基地化轮训新模式。针对典型事故灾害类型，每年定期开展全要素、高仿真、多力量协同的跨区域综合实战拉动演练，实施模块化调集、跨区域投送、信息化研判、前后方协作等专项训练，不断提高“打大仗、打恶仗”能力水平。全面提高指战员等级资质评定和消防员职业技能鉴定达标率，将评（鉴）定结果与职级晋升、保障待遇实行挂钩，真正激发指战员提质强能的内驱动力。持续对区消防大队训练设施和现有消防救援队站升级改造，2021年，完成大队健身房建设，2022年—2025年对消防救援队站训练设施全部完成升级改造。</w:t>
      </w:r>
    </w:p>
    <w:p>
      <w:pPr>
        <w:widowControl w:val="0"/>
        <w:spacing w:after="0" w:line="600" w:lineRule="exact"/>
        <w:ind w:firstLine="627" w:firstLineChars="200"/>
        <w:jc w:val="both"/>
        <w:rPr>
          <w:rFonts w:hint="eastAsia" w:ascii="楷体" w:hAnsi="楷体" w:eastAsia="楷体" w:cs="楷体"/>
          <w:b/>
          <w:color w:val="000000"/>
          <w:sz w:val="32"/>
          <w:szCs w:val="32"/>
        </w:rPr>
      </w:pPr>
      <w:r>
        <w:rPr>
          <w:rFonts w:hint="eastAsia" w:ascii="楷体" w:hAnsi="楷体" w:eastAsia="楷体" w:cs="楷体"/>
          <w:b/>
          <w:color w:val="000000"/>
          <w:spacing w:val="-4"/>
          <w:sz w:val="32"/>
          <w:szCs w:val="32"/>
        </w:rPr>
        <w:t>（五）</w:t>
      </w:r>
      <w:r>
        <w:rPr>
          <w:rFonts w:hint="eastAsia" w:ascii="楷体" w:hAnsi="楷体" w:eastAsia="楷体" w:cs="楷体"/>
          <w:b/>
          <w:color w:val="000000"/>
          <w:sz w:val="32"/>
          <w:szCs w:val="32"/>
        </w:rPr>
        <w:t>推进数字支撑体系建设</w:t>
      </w:r>
    </w:p>
    <w:p>
      <w:pPr>
        <w:keepNext w:val="0"/>
        <w:keepLines w:val="0"/>
        <w:pageBreakBefore w:val="0"/>
        <w:widowControl/>
        <w:kinsoku/>
        <w:wordWrap/>
        <w:overflowPunct/>
        <w:topLinePunct w:val="0"/>
        <w:autoSpaceDE/>
        <w:autoSpaceDN/>
        <w:bidi w:val="0"/>
        <w:adjustRightInd/>
        <w:snapToGrid/>
        <w:spacing w:after="0" w:line="600" w:lineRule="exact"/>
        <w:ind w:firstLine="627" w:firstLineChars="200"/>
        <w:jc w:val="both"/>
        <w:textAlignment w:val="auto"/>
        <w:rPr>
          <w:rFonts w:hint="eastAsia" w:ascii="仿宋" w:hAnsi="仿宋" w:eastAsia="仿宋" w:cs="仿宋"/>
          <w:color w:val="000000"/>
          <w:spacing w:val="-4"/>
          <w:sz w:val="32"/>
          <w:szCs w:val="32"/>
        </w:rPr>
      </w:pPr>
      <w:r>
        <w:rPr>
          <w:rFonts w:hint="eastAsia" w:ascii="仿宋" w:hAnsi="仿宋" w:eastAsia="仿宋" w:cs="仿宋"/>
          <w:b/>
          <w:color w:val="000000"/>
          <w:spacing w:val="-4"/>
          <w:sz w:val="32"/>
          <w:szCs w:val="32"/>
        </w:rPr>
        <w:t>20、加快智慧消防建设。</w:t>
      </w:r>
      <w:r>
        <w:rPr>
          <w:rFonts w:hint="eastAsia" w:ascii="仿宋" w:hAnsi="仿宋" w:eastAsia="仿宋" w:cs="仿宋"/>
          <w:color w:val="000000"/>
          <w:spacing w:val="-4"/>
          <w:sz w:val="32"/>
          <w:szCs w:val="32"/>
        </w:rPr>
        <w:t>推动“智赣119”加快融入“城市大脑”建设，结合物联网、区块链、5G等新兴技术，充分发挥信息技术在灭火救援指挥、社会消防监管、队伍建设、应急通信等消防工作中主导作用，全面建成智慧消防项目。</w:t>
      </w:r>
      <w:r>
        <w:rPr>
          <w:rFonts w:hint="eastAsia" w:ascii="仿宋" w:hAnsi="仿宋" w:eastAsia="仿宋" w:cs="仿宋"/>
          <w:sz w:val="32"/>
          <w:szCs w:val="32"/>
          <w:lang w:val="zh-CN"/>
        </w:rPr>
        <w:t>政府以购买服务方式</w:t>
      </w:r>
      <w:r>
        <w:rPr>
          <w:rFonts w:hint="eastAsia" w:ascii="仿宋" w:hAnsi="仿宋" w:eastAsia="仿宋" w:cs="仿宋"/>
          <w:sz w:val="32"/>
          <w:szCs w:val="32"/>
        </w:rPr>
        <w:t>建成“智赣119”消防物联网运维中心，并融入各级政府的智慧城市大数据中心，实现对火灾监测预警预报和火灾高风险场所、高风险区域的动态监测、风险评估、智能分析及精准治理。</w:t>
      </w:r>
      <w:r>
        <w:rPr>
          <w:rFonts w:hint="eastAsia" w:ascii="仿宋" w:hAnsi="仿宋" w:eastAsia="仿宋" w:cs="仿宋"/>
          <w:color w:val="000000"/>
          <w:spacing w:val="-4"/>
          <w:sz w:val="32"/>
          <w:szCs w:val="32"/>
        </w:rPr>
        <w:t>夯实应急通信体系建设，应用视频感知、智能传感等技术与设备，全面掌握应急救援总体态势，为指挥决策提供一手灾情信息和实时精准的数据支撑。</w:t>
      </w:r>
    </w:p>
    <w:p>
      <w:pPr>
        <w:keepNext w:val="0"/>
        <w:keepLines w:val="0"/>
        <w:pageBreakBefore w:val="0"/>
        <w:widowControl w:val="0"/>
        <w:kinsoku/>
        <w:wordWrap/>
        <w:overflowPunct/>
        <w:topLinePunct w:val="0"/>
        <w:autoSpaceDE/>
        <w:autoSpaceDN/>
        <w:bidi w:val="0"/>
        <w:adjustRightInd w:val="0"/>
        <w:snapToGrid w:val="0"/>
        <w:spacing w:after="0" w:line="600" w:lineRule="exact"/>
        <w:ind w:firstLine="803" w:firstLineChars="250"/>
        <w:jc w:val="both"/>
        <w:textAlignment w:val="auto"/>
        <w:rPr>
          <w:rFonts w:hint="eastAsia" w:ascii="仿宋" w:hAnsi="仿宋" w:eastAsia="仿宋" w:cs="仿宋"/>
          <w:color w:val="000000" w:themeColor="text1"/>
          <w:spacing w:val="-4"/>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21、加快智能指挥体系建设。</w:t>
      </w:r>
      <w:r>
        <w:rPr>
          <w:rFonts w:hint="eastAsia" w:ascii="仿宋" w:hAnsi="仿宋" w:eastAsia="仿宋" w:cs="仿宋"/>
          <w:color w:val="000000" w:themeColor="text1"/>
          <w:spacing w:val="-4"/>
          <w:sz w:val="32"/>
          <w:szCs w:val="32"/>
          <w14:textFill>
            <w14:solidFill>
              <w14:schemeClr w14:val="tx1"/>
            </w14:solidFill>
          </w14:textFill>
        </w:rPr>
        <w:t>围绕“六化”建设目标，着力建设立足区综合应急救援指挥中心。2021至2025年，将区政府专职消防队、企业专职消防队和有条件的民间志愿救援队、专业救援机构、大型工程机械企业等力量纳入119统一调度；2021-2022年，逐步完善执勤实力、消防水源、重点单位、道路交通等基础作战信息接入指挥平台；加强灭火救援数字化预案建设，完善辖区重点单位、典型灾害预案编制，实现远程动态评估管理和实战调用；2022年，实现报警定位精度校准、作战资源图上标注、移动终端同步接入等实战功能；2023-2025年，实现全面实现一体化战备值守、预警研判、信息发布、力量调度、联合指挥、作战监测、事故评估等功能。</w:t>
      </w:r>
    </w:p>
    <w:p>
      <w:pPr>
        <w:widowControl w:val="0"/>
        <w:spacing w:after="0" w:line="600" w:lineRule="exact"/>
        <w:ind w:firstLine="643" w:firstLineChars="200"/>
        <w:jc w:val="both"/>
        <w:rPr>
          <w:rFonts w:ascii="方正仿宋_GBK" w:eastAsia="方正仿宋_GBK"/>
          <w:color w:val="FF0000"/>
          <w:sz w:val="32"/>
          <w:szCs w:val="32"/>
        </w:rPr>
      </w:pPr>
      <w:r>
        <w:rPr>
          <w:rFonts w:hint="eastAsia" w:ascii="仿宋" w:hAnsi="仿宋" w:eastAsia="仿宋" w:cs="仿宋"/>
          <w:b/>
          <w:bCs/>
          <w:color w:val="000000" w:themeColor="text1"/>
          <w:sz w:val="32"/>
          <w:szCs w:val="32"/>
          <w14:textFill>
            <w14:solidFill>
              <w14:schemeClr w14:val="tx1"/>
            </w14:solidFill>
          </w14:textFill>
        </w:rPr>
        <w:t>22、加快应急通信保障能力建设。</w:t>
      </w:r>
      <w:r>
        <w:rPr>
          <w:rFonts w:hint="eastAsia" w:ascii="仿宋" w:hAnsi="仿宋" w:eastAsia="仿宋" w:cs="仿宋"/>
          <w:color w:val="000000" w:themeColor="text1"/>
          <w:sz w:val="32"/>
          <w:szCs w:val="32"/>
          <w14:textFill>
            <w14:solidFill>
              <w14:schemeClr w14:val="tx1"/>
            </w14:solidFill>
          </w14:textFill>
        </w:rPr>
        <w:t>优化应急通信装备结构布局，强化重大灾害事故现场应急通信保障能力。2021年，大队应急突击分队强化升级，配齐无人机、卫星电话等装备设备。2022年，配齐前突通信车，启动开展涵盖行车记录、报警联络、图信传输、资料查询、导航定位等功能的一体化车载通信终端额配备工作。2023年，100%执勤车辆配备涵盖行车记录、报警联络、图信传输、资料查询、导航定位等功能的一体化车载通信终端，并实现与指挥平台的实时挂接，启动开展具有通信传输、环境监测、人员定位等功能的轻型化、集成化、智能化单兵通信装备配备工作，2024年纳入个人防护装备统型；2025年，加大一线消防通信装备投入，加快消防救援领域大型无人机智能跟踪拍摄机器人、高适应性卫星通信、宽窄带智能中继等新装备、新技术、新战法建设应用，全面满足特殊灾害现场实时通信需要。</w:t>
      </w:r>
    </w:p>
    <w:p>
      <w:pPr>
        <w:pStyle w:val="3"/>
        <w:spacing w:after="0" w:line="600" w:lineRule="exact"/>
        <w:ind w:firstLine="643" w:firstLineChars="200"/>
        <w:rPr>
          <w:rFonts w:hint="eastAsia" w:ascii="楷体" w:hAnsi="楷体" w:eastAsia="楷体" w:cs="楷体"/>
          <w:b/>
          <w:bCs/>
          <w:color w:val="000000"/>
          <w:sz w:val="32"/>
          <w:szCs w:val="32"/>
        </w:rPr>
      </w:pPr>
      <w:r>
        <w:rPr>
          <w:rFonts w:hint="eastAsia" w:ascii="楷体" w:hAnsi="楷体" w:eastAsia="楷体" w:cs="楷体"/>
          <w:b/>
          <w:bCs/>
          <w:color w:val="000000"/>
          <w:sz w:val="32"/>
          <w:szCs w:val="32"/>
        </w:rPr>
        <w:t>（六）强化消防法制政策保障</w:t>
      </w:r>
    </w:p>
    <w:p>
      <w:pPr>
        <w:pStyle w:val="3"/>
        <w:spacing w:after="0" w:line="600" w:lineRule="exact"/>
        <w:ind w:firstLine="643" w:firstLineChars="200"/>
        <w:rPr>
          <w:rFonts w:hint="eastAsia" w:ascii="仿宋" w:hAnsi="仿宋" w:eastAsia="仿宋" w:cs="仿宋"/>
          <w:color w:val="000000"/>
          <w:sz w:val="32"/>
          <w:szCs w:val="32"/>
        </w:rPr>
      </w:pPr>
      <w:r>
        <w:rPr>
          <w:rFonts w:hint="eastAsia" w:ascii="仿宋" w:hAnsi="仿宋" w:eastAsia="仿宋" w:cs="仿宋"/>
          <w:b/>
          <w:color w:val="000000"/>
          <w:sz w:val="32"/>
          <w:szCs w:val="32"/>
        </w:rPr>
        <w:t>23、推进消防法制和技术标准建设。</w:t>
      </w:r>
      <w:r>
        <w:rPr>
          <w:rFonts w:hint="eastAsia" w:ascii="仿宋" w:hAnsi="仿宋" w:eastAsia="仿宋" w:cs="仿宋"/>
          <w:color w:val="000000"/>
          <w:sz w:val="32"/>
          <w:szCs w:val="32"/>
        </w:rPr>
        <w:t>积极参与清理、修改、完善与消防改革和消防救援队伍建设发展不适应的地方法规和规章、规范性法律文件。坚持问题导向，积极参与地方消防标准制修订。针对辖区消防安全突出问题，结合实际制定“短、平、快”整治措施或规范性文件。</w:t>
      </w:r>
    </w:p>
    <w:p>
      <w:pPr>
        <w:pStyle w:val="3"/>
        <w:spacing w:after="0" w:line="600" w:lineRule="exact"/>
        <w:ind w:firstLine="643" w:firstLineChars="200"/>
        <w:rPr>
          <w:rFonts w:hint="eastAsia" w:ascii="仿宋" w:hAnsi="仿宋" w:eastAsia="仿宋" w:cs="仿宋"/>
          <w:bCs/>
          <w:color w:val="000000"/>
          <w:kern w:val="0"/>
          <w:sz w:val="32"/>
          <w:szCs w:val="32"/>
        </w:rPr>
      </w:pPr>
      <w:r>
        <w:rPr>
          <w:rFonts w:hint="eastAsia" w:ascii="仿宋" w:hAnsi="仿宋" w:eastAsia="仿宋" w:cs="仿宋"/>
          <w:b/>
          <w:color w:val="000000"/>
          <w:kern w:val="1"/>
          <w:sz w:val="32"/>
          <w:szCs w:val="32"/>
        </w:rPr>
        <w:t>24、健全消防职业保障机制。</w:t>
      </w:r>
      <w:r>
        <w:rPr>
          <w:rFonts w:hint="eastAsia" w:ascii="仿宋" w:hAnsi="仿宋" w:eastAsia="仿宋" w:cs="仿宋"/>
          <w:color w:val="000000"/>
          <w:sz w:val="32"/>
          <w:szCs w:val="32"/>
        </w:rPr>
        <w:t>认真贯彻落实各级关于国家综合性消防救援队伍人员优抚优待和职业保障等文件要求。落实党委政府每年结合春节、119 消防日等重大节日和重大活动，安排走访慰问消防救援队伍和人员；举办有关重大纪念庆</w:t>
      </w:r>
      <w:r>
        <w:rPr>
          <w:rFonts w:hint="eastAsia" w:ascii="仿宋" w:hAnsi="仿宋" w:eastAsia="仿宋" w:cs="仿宋"/>
          <w:bCs/>
          <w:color w:val="000000"/>
          <w:kern w:val="0"/>
          <w:sz w:val="32"/>
          <w:szCs w:val="32"/>
        </w:rPr>
        <w:t>典活动时，邀请消防功模代表参加，将消防救援队伍纳入地方表彰奖励体系。抓好《江西省专职消防救援队和志愿消防救援队建设管理办法》、《关于全省政府专职消防员工资及福利待遇标准的通知》落细落实；发放消防救援人员家属保障卡，将改革性、奖励性补贴，高危补助等纳入地方财政预算。</w:t>
      </w:r>
      <w:r>
        <w:rPr>
          <w:rFonts w:hint="eastAsia" w:ascii="仿宋" w:hAnsi="仿宋" w:eastAsia="仿宋" w:cs="仿宋"/>
          <w:bCs/>
          <w:color w:val="000000"/>
          <w:sz w:val="32"/>
          <w:szCs w:val="32"/>
        </w:rPr>
        <w:t>加大社会优待政策</w:t>
      </w:r>
      <w:r>
        <w:rPr>
          <w:rFonts w:hint="eastAsia" w:ascii="仿宋" w:hAnsi="仿宋" w:eastAsia="仿宋" w:cs="仿宋"/>
          <w:bCs/>
          <w:color w:val="000000"/>
          <w:kern w:val="0"/>
          <w:sz w:val="32"/>
          <w:szCs w:val="32"/>
        </w:rPr>
        <w:t>支持，保障消防救援人员在家属随调和落户、子女入学、交通出行、看病就医、参观游览等方面的优先优待权。</w:t>
      </w:r>
    </w:p>
    <w:p>
      <w:pPr>
        <w:pStyle w:val="3"/>
        <w:spacing w:after="0" w:line="600" w:lineRule="exact"/>
        <w:ind w:firstLine="643" w:firstLineChars="200"/>
        <w:rPr>
          <w:rFonts w:hint="eastAsia" w:ascii="楷体" w:hAnsi="楷体" w:eastAsia="楷体" w:cs="楷体"/>
          <w:b/>
          <w:bCs/>
          <w:color w:val="000000"/>
          <w:kern w:val="0"/>
          <w:sz w:val="32"/>
          <w:szCs w:val="32"/>
        </w:rPr>
      </w:pPr>
      <w:r>
        <w:rPr>
          <w:rFonts w:hint="eastAsia" w:ascii="楷体" w:hAnsi="楷体" w:eastAsia="楷体" w:cs="楷体"/>
          <w:b/>
          <w:bCs/>
          <w:color w:val="000000"/>
          <w:kern w:val="0"/>
          <w:sz w:val="32"/>
          <w:szCs w:val="32"/>
        </w:rPr>
        <w:t>（七）</w:t>
      </w:r>
      <w:r>
        <w:rPr>
          <w:rFonts w:hint="eastAsia" w:ascii="楷体" w:hAnsi="楷体" w:eastAsia="楷体" w:cs="楷体"/>
          <w:b/>
          <w:color w:val="000000"/>
          <w:kern w:val="0"/>
          <w:sz w:val="32"/>
          <w:szCs w:val="32"/>
        </w:rPr>
        <w:t>加强消防安全宣传教育</w:t>
      </w:r>
    </w:p>
    <w:p>
      <w:pPr>
        <w:widowControl w:val="0"/>
        <w:spacing w:after="0" w:line="600" w:lineRule="exact"/>
        <w:ind w:firstLine="643" w:firstLineChars="200"/>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kern w:val="1"/>
          <w:sz w:val="32"/>
          <w:szCs w:val="32"/>
          <w14:textFill>
            <w14:solidFill>
              <w14:schemeClr w14:val="tx1"/>
            </w14:solidFill>
          </w14:textFill>
        </w:rPr>
        <w:t>25、夯实消防宣传工作基础。</w:t>
      </w:r>
      <w:r>
        <w:rPr>
          <w:rFonts w:hint="eastAsia" w:ascii="仿宋" w:hAnsi="仿宋" w:eastAsia="仿宋" w:cs="仿宋"/>
          <w:color w:val="000000" w:themeColor="text1"/>
          <w:sz w:val="32"/>
          <w:szCs w:val="32"/>
          <w14:textFill>
            <w14:solidFill>
              <w14:schemeClr w14:val="tx1"/>
            </w14:solidFill>
          </w14:textFill>
        </w:rPr>
        <w:t>积极融入各类媒体平台，加强新媒体矩阵建设，建立“线上+线下”宣传教育体系，创新消防宣传教育形式。2021年，建立昌江区消防宣教站，完善和配备信息处理类装备、应急处置宣传装备、宣传编辑装备、消防宣传教育装备、消防宣传通信装备。“十四五”期间，因地制宜再建设一个消防主题公园、消防文化广场或街区。</w:t>
      </w:r>
    </w:p>
    <w:p>
      <w:pPr>
        <w:widowControl w:val="0"/>
        <w:spacing w:after="0" w:line="600" w:lineRule="exact"/>
        <w:ind w:firstLine="643" w:firstLineChars="200"/>
        <w:jc w:val="both"/>
        <w:rPr>
          <w:rFonts w:hint="eastAsia" w:ascii="仿宋" w:hAnsi="仿宋" w:eastAsia="仿宋" w:cs="仿宋"/>
          <w:color w:val="000000"/>
          <w:sz w:val="32"/>
          <w:szCs w:val="32"/>
        </w:rPr>
      </w:pPr>
      <w:r>
        <w:rPr>
          <w:rFonts w:hint="eastAsia" w:ascii="仿宋" w:hAnsi="仿宋" w:eastAsia="仿宋" w:cs="仿宋"/>
          <w:b/>
          <w:color w:val="000000"/>
          <w:sz w:val="32"/>
          <w:szCs w:val="32"/>
        </w:rPr>
        <w:t>26、</w:t>
      </w:r>
      <w:r>
        <w:rPr>
          <w:rFonts w:hint="eastAsia" w:ascii="仿宋" w:hAnsi="仿宋" w:eastAsia="仿宋" w:cs="仿宋"/>
          <w:b/>
          <w:bCs/>
          <w:color w:val="000000"/>
          <w:sz w:val="32"/>
          <w:szCs w:val="32"/>
        </w:rPr>
        <w:t>稳步提升全民消防安全素质。</w:t>
      </w:r>
      <w:r>
        <w:rPr>
          <w:rFonts w:hint="eastAsia" w:ascii="仿宋" w:hAnsi="仿宋" w:eastAsia="仿宋" w:cs="仿宋"/>
          <w:color w:val="000000"/>
          <w:sz w:val="32"/>
          <w:szCs w:val="32"/>
        </w:rPr>
        <w:t>把消防法律法规和消防知识纳入党政领导干部、公务员培训、科普教育及普法教育、义务教育和素质教育内容，加大对各级党政领导、社会单位消防安全责任人和管理人、社区居委会和村“两委”负责人员的培训力度。扎实推进消防安全宣传进企业、进农村、进社区、进学校、进家庭，推动行业部门落实消防宣传教育培训职责，营造消防安全宣传教育的良好氛围。开展119消防奖评选表彰，推动消防公益事业发展。支持创作消防题材文学、艺术作品，推出特色鲜明的消防卡通形象、动漫作品，引导电商、快递、电信运营等企业开展消防宣传，提升全民消防安全意识。持续壮大消防志愿者队伍，打造具有昌江特色的消防志愿服务队伍。</w:t>
      </w:r>
    </w:p>
    <w:p>
      <w:pPr>
        <w:spacing w:after="0" w:line="600" w:lineRule="exact"/>
        <w:ind w:firstLine="643" w:firstLineChars="200"/>
        <w:jc w:val="both"/>
        <w:rPr>
          <w:rFonts w:hint="eastAsia" w:ascii="楷体" w:hAnsi="楷体" w:eastAsia="楷体" w:cs="楷体"/>
          <w:b/>
          <w:bCs/>
          <w:color w:val="000000"/>
          <w:sz w:val="32"/>
          <w:szCs w:val="32"/>
        </w:rPr>
      </w:pPr>
      <w:r>
        <w:rPr>
          <w:rFonts w:hint="eastAsia" w:ascii="楷体" w:hAnsi="楷体" w:eastAsia="楷体" w:cs="楷体"/>
          <w:b/>
          <w:bCs/>
          <w:color w:val="000000"/>
          <w:sz w:val="32"/>
          <w:szCs w:val="32"/>
        </w:rPr>
        <w:t>（八）优化消防职业人文环境</w:t>
      </w:r>
    </w:p>
    <w:p>
      <w:pPr>
        <w:widowControl w:val="0"/>
        <w:spacing w:after="0" w:line="600" w:lineRule="exact"/>
        <w:ind w:firstLine="643" w:firstLineChars="200"/>
        <w:jc w:val="both"/>
        <w:rPr>
          <w:rFonts w:hint="eastAsia" w:ascii="仿宋" w:hAnsi="仿宋" w:eastAsia="仿宋" w:cs="仿宋"/>
          <w:color w:val="000000"/>
          <w:spacing w:val="-4"/>
          <w:sz w:val="32"/>
          <w:szCs w:val="32"/>
        </w:rPr>
      </w:pPr>
      <w:r>
        <w:rPr>
          <w:rFonts w:hint="eastAsia" w:ascii="仿宋" w:hAnsi="仿宋" w:eastAsia="仿宋" w:cs="仿宋"/>
          <w:b/>
          <w:color w:val="000000"/>
          <w:kern w:val="1"/>
          <w:sz w:val="32"/>
          <w:szCs w:val="32"/>
        </w:rPr>
        <w:t>27、加强消防职业文化建设。</w:t>
      </w:r>
      <w:r>
        <w:rPr>
          <w:rFonts w:hint="eastAsia" w:ascii="仿宋" w:hAnsi="仿宋" w:eastAsia="仿宋" w:cs="仿宋"/>
          <w:color w:val="000000"/>
          <w:spacing w:val="-4"/>
          <w:sz w:val="32"/>
          <w:szCs w:val="32"/>
        </w:rPr>
        <w:t>突出文化建队、文化润队、文化强队，每年制作推出一部反映昌江消防救援队伍和消防救援工作的优秀文艺作品，适时拍摄一批消防救援题材宣传片等，提升消防文化品牌普及率。将文化建设纳入正规化建设总体规划中，2022年，现有消防救援队伍完成车辆、队站外观等标识规范和队史馆（荣誉室）建设达标。坚持落实消防救援队伍基本文化活动制度，做到“训练战斗有口号、队列集会有歌声、周末假日有活动、重大节日有晚会、每月体育有比赛、重大战斗有慰问”。加强能力素质培训教育，推进地方队伍联合办训、岗位业务分类施训等培训教育模式，建立健全在职自学制度，鼓励支持指战员提升专业素养和学历水平，不断增强消防指战员的能力水平、战斗精神、作风纪律、品德修养等软实力。</w:t>
      </w:r>
    </w:p>
    <w:p>
      <w:pPr>
        <w:widowControl w:val="0"/>
        <w:spacing w:after="0" w:line="600" w:lineRule="exact"/>
        <w:ind w:firstLine="643" w:firstLineChars="200"/>
        <w:jc w:val="both"/>
        <w:rPr>
          <w:rFonts w:hint="eastAsia" w:ascii="仿宋" w:hAnsi="仿宋" w:eastAsia="仿宋" w:cs="仿宋"/>
          <w:color w:val="000000"/>
          <w:spacing w:val="-4"/>
          <w:sz w:val="32"/>
          <w:szCs w:val="32"/>
        </w:rPr>
      </w:pPr>
      <w:r>
        <w:rPr>
          <w:rFonts w:hint="eastAsia" w:ascii="仿宋" w:hAnsi="仿宋" w:eastAsia="仿宋" w:cs="仿宋"/>
          <w:b/>
          <w:color w:val="000000"/>
          <w:kern w:val="1"/>
          <w:sz w:val="32"/>
          <w:szCs w:val="32"/>
        </w:rPr>
        <w:t>28、建强科学完备人才队伍。</w:t>
      </w:r>
      <w:r>
        <w:rPr>
          <w:rFonts w:hint="eastAsia" w:ascii="仿宋" w:hAnsi="仿宋" w:eastAsia="仿宋" w:cs="仿宋"/>
          <w:color w:val="000000"/>
          <w:sz w:val="32"/>
          <w:szCs w:val="32"/>
        </w:rPr>
        <w:t>制定人才队伍建设规划，建立完善人才培养使用、激励保障等机制。</w:t>
      </w:r>
      <w:r>
        <w:rPr>
          <w:rFonts w:hint="eastAsia" w:ascii="仿宋" w:hAnsi="仿宋" w:eastAsia="仿宋" w:cs="仿宋"/>
          <w:color w:val="000000"/>
          <w:spacing w:val="-4"/>
          <w:sz w:val="32"/>
          <w:szCs w:val="32"/>
        </w:rPr>
        <w:t>按照“打造一批工匠型消防员、培养一批专家型指挥员、引进一批紧缺型人才”的思路，采取集中培训、定向培养和聘请合作相结合的方式，重点围绕全灾种实战需要，抓紧培养一批队伍建设发展亟需的专业人才。完善人才管理和激励机制，建立人才资源库并实时进行复评更新，推动消防救援队伍干部人才纳入政府特殊津贴评选，支持各类消防救援人才参评各级荣誉奖项评选，在职务晋升、年度考核、表彰奖励中适当向各类人才倾斜。</w:t>
      </w:r>
    </w:p>
    <w:p>
      <w:pPr>
        <w:widowControl w:val="0"/>
        <w:spacing w:after="0" w:line="600" w:lineRule="exact"/>
        <w:ind w:firstLine="640" w:firstLineChars="200"/>
        <w:jc w:val="both"/>
        <w:rPr>
          <w:rFonts w:hint="eastAsia" w:ascii="黑体" w:hAnsi="黑体" w:eastAsia="黑体" w:cs="黑体"/>
          <w:color w:val="000000"/>
          <w:sz w:val="32"/>
          <w:szCs w:val="32"/>
        </w:rPr>
      </w:pPr>
      <w:r>
        <w:rPr>
          <w:rFonts w:hint="eastAsia" w:ascii="黑体" w:hAnsi="黑体" w:eastAsia="黑体" w:cs="黑体"/>
          <w:color w:val="000000"/>
          <w:sz w:val="32"/>
          <w:szCs w:val="32"/>
        </w:rPr>
        <w:t>四、重点工程</w:t>
      </w:r>
    </w:p>
    <w:p>
      <w:pPr>
        <w:widowControl w:val="0"/>
        <w:spacing w:after="0" w:line="600" w:lineRule="exact"/>
        <w:ind w:firstLine="643" w:firstLineChars="200"/>
        <w:jc w:val="both"/>
        <w:rPr>
          <w:rFonts w:hint="eastAsia" w:ascii="仿宋" w:hAnsi="仿宋" w:eastAsia="仿宋" w:cs="仿宋"/>
          <w:kern w:val="2"/>
          <w:sz w:val="32"/>
          <w:szCs w:val="32"/>
        </w:rPr>
      </w:pPr>
      <w:r>
        <w:rPr>
          <w:rFonts w:hint="eastAsia" w:ascii="楷体" w:hAnsi="楷体" w:eastAsia="楷体" w:cs="楷体"/>
          <w:b/>
          <w:bCs/>
          <w:kern w:val="2"/>
          <w:sz w:val="32"/>
          <w:szCs w:val="32"/>
        </w:rPr>
        <w:t>城镇小型消防站建设工程。</w:t>
      </w:r>
      <w:r>
        <w:rPr>
          <w:rFonts w:hint="eastAsia" w:ascii="仿宋" w:hAnsi="仿宋" w:eastAsia="仿宋" w:cs="仿宋"/>
          <w:kern w:val="2"/>
          <w:sz w:val="32"/>
          <w:szCs w:val="32"/>
        </w:rPr>
        <w:t>为积极融入全区城市建设发展规划，根据</w:t>
      </w:r>
      <w:r>
        <w:rPr>
          <w:rFonts w:hint="eastAsia" w:ascii="仿宋" w:hAnsi="仿宋" w:eastAsia="仿宋" w:cs="仿宋"/>
          <w:color w:val="000000"/>
          <w:kern w:val="2"/>
          <w:sz w:val="32"/>
          <w:szCs w:val="32"/>
        </w:rPr>
        <w:t>消防队站布点相对于5分钟消防的响应和普通消防站辖区面积不宜大于4～7平方公里的国家标准要求，</w:t>
      </w:r>
      <w:r>
        <w:rPr>
          <w:rFonts w:hint="eastAsia" w:ascii="仿宋" w:hAnsi="仿宋" w:eastAsia="仿宋" w:cs="仿宋"/>
          <w:kern w:val="2"/>
          <w:sz w:val="32"/>
          <w:szCs w:val="32"/>
        </w:rPr>
        <w:t>2024年建成昌江区新平路小型消防站，2025年完成昌江区曙光路二级消防站迁建，全面提升城区范围应急救援实力，为昌江经济发展保驾护航。</w:t>
      </w:r>
    </w:p>
    <w:p>
      <w:pPr>
        <w:pStyle w:val="3"/>
        <w:spacing w:after="0" w:line="600" w:lineRule="exact"/>
        <w:ind w:firstLine="643" w:firstLineChars="200"/>
        <w:rPr>
          <w:rFonts w:hint="eastAsia" w:ascii="仿宋" w:hAnsi="仿宋" w:eastAsia="仿宋" w:cs="仿宋"/>
          <w:color w:val="000000"/>
          <w:sz w:val="32"/>
          <w:szCs w:val="32"/>
        </w:rPr>
      </w:pPr>
      <w:r>
        <w:rPr>
          <w:rFonts w:hint="eastAsia" w:ascii="楷体" w:hAnsi="楷体" w:eastAsia="楷体" w:cs="楷体"/>
          <w:b/>
          <w:bCs/>
          <w:kern w:val="2"/>
          <w:sz w:val="32"/>
          <w:szCs w:val="32"/>
          <w:lang w:val="en-US" w:eastAsia="zh-CN" w:bidi="ar-SA"/>
        </w:rPr>
        <w:t>“智赣119”建设提升工程。</w:t>
      </w:r>
      <w:r>
        <w:rPr>
          <w:rFonts w:hint="eastAsia" w:ascii="仿宋" w:hAnsi="仿宋" w:eastAsia="仿宋" w:cs="仿宋"/>
          <w:color w:val="000000"/>
          <w:sz w:val="32"/>
          <w:szCs w:val="32"/>
        </w:rPr>
        <w:t>坚持“统筹规划、集约共建”的原则，按照政务信息化项目建设要求，依托政务云资源，建成“智赣119”物联网大数据中心，融入本级智慧城市大数据管理，实现数据资源与“双随机、一公开”消防监督系统、实战指挥平台、综治信息平台、雪亮工程平台等数据资源的互联共享。建立消防维保物联网监控系统，对所服务项目的消防设施运行、故障报警等进行实时监控，规范消防维保服务工作流程，提高维保服务质量。</w:t>
      </w:r>
    </w:p>
    <w:p>
      <w:pPr>
        <w:widowControl w:val="0"/>
        <w:spacing w:after="0" w:line="600" w:lineRule="exact"/>
        <w:ind w:firstLine="640" w:firstLineChars="200"/>
        <w:jc w:val="both"/>
        <w:rPr>
          <w:rFonts w:hint="eastAsia" w:ascii="黑体" w:hAnsi="黑体" w:eastAsia="黑体" w:cs="黑体"/>
          <w:color w:val="000000"/>
          <w:sz w:val="32"/>
          <w:szCs w:val="32"/>
        </w:rPr>
      </w:pPr>
      <w:r>
        <w:rPr>
          <w:rFonts w:hint="eastAsia" w:ascii="黑体" w:hAnsi="黑体" w:eastAsia="黑体" w:cs="黑体"/>
          <w:color w:val="000000"/>
          <w:sz w:val="32"/>
          <w:szCs w:val="32"/>
        </w:rPr>
        <w:t>五、保障措施</w:t>
      </w:r>
    </w:p>
    <w:p>
      <w:pPr>
        <w:widowControl w:val="0"/>
        <w:spacing w:after="0" w:line="600" w:lineRule="exact"/>
        <w:ind w:firstLine="643" w:firstLineChars="200"/>
        <w:jc w:val="both"/>
        <w:rPr>
          <w:rFonts w:hint="eastAsia" w:ascii="仿宋" w:hAnsi="仿宋" w:eastAsia="仿宋" w:cs="仿宋"/>
          <w:color w:val="000000"/>
          <w:sz w:val="32"/>
          <w:szCs w:val="32"/>
        </w:rPr>
      </w:pPr>
      <w:r>
        <w:rPr>
          <w:rFonts w:hint="eastAsia" w:ascii="楷体" w:hAnsi="楷体" w:eastAsia="楷体" w:cs="楷体"/>
          <w:b/>
          <w:bCs w:val="0"/>
          <w:color w:val="000000"/>
          <w:sz w:val="32"/>
          <w:szCs w:val="32"/>
        </w:rPr>
        <w:t>（一）强化组织领导。</w:t>
      </w:r>
      <w:r>
        <w:rPr>
          <w:rFonts w:hint="eastAsia" w:ascii="仿宋" w:hAnsi="仿宋" w:eastAsia="仿宋" w:cs="仿宋"/>
          <w:color w:val="000000"/>
          <w:sz w:val="32"/>
          <w:szCs w:val="32"/>
        </w:rPr>
        <w:t>《规划》一经批准，必须严格执行，任何单位和个人不得擅改调整，因经济社会发展确需调整的，须按程序审批。要强化责任意识，加强《规划》实施的组织领导，结合《规划》制定详细的年度实施计划，把规划落实工作纳入政府重要议事日程，把消防规划纳入经济社会发展总体规划统筹推进实施。要实体化运行消防安全委员会，充分发挥消防工作联席会议等议事协调机构的作用，调动各方力量，强力推动《规划》确定的工作任务有效落实。</w:t>
      </w:r>
    </w:p>
    <w:p>
      <w:pPr>
        <w:widowControl w:val="0"/>
        <w:spacing w:after="0" w:line="600" w:lineRule="exact"/>
        <w:ind w:firstLine="643" w:firstLineChars="200"/>
        <w:jc w:val="both"/>
        <w:rPr>
          <w:rFonts w:hint="eastAsia" w:ascii="仿宋" w:hAnsi="仿宋" w:eastAsia="仿宋" w:cs="仿宋"/>
          <w:color w:val="000000"/>
          <w:sz w:val="32"/>
          <w:szCs w:val="32"/>
        </w:rPr>
      </w:pPr>
      <w:r>
        <w:rPr>
          <w:rFonts w:hint="eastAsia" w:ascii="楷体" w:hAnsi="楷体" w:eastAsia="楷体" w:cs="楷体"/>
          <w:b/>
          <w:bCs w:val="0"/>
          <w:color w:val="000000"/>
          <w:sz w:val="32"/>
          <w:szCs w:val="32"/>
        </w:rPr>
        <w:t>（二）强化政策保障。</w:t>
      </w:r>
      <w:r>
        <w:rPr>
          <w:rFonts w:hint="eastAsia" w:ascii="仿宋" w:hAnsi="仿宋" w:eastAsia="仿宋" w:cs="仿宋"/>
          <w:color w:val="000000"/>
          <w:sz w:val="32"/>
          <w:szCs w:val="32"/>
        </w:rPr>
        <w:t>要从严落实新修订的《江西省消防救援队伍经费管理实施办法》，健全消防经费长效保障机制，确保地方消防经费保障与经济社会发展水平相适应。要在法规、政策方面予以支持，同步出台相配套的规划、标准和管理规定，研究解决规划实施过程中存在的突出问题，确保消防规划与相关专项规划目标一致、任务统一、工程同步、政策配套。</w:t>
      </w:r>
    </w:p>
    <w:p>
      <w:pPr>
        <w:widowControl w:val="0"/>
        <w:spacing w:after="0" w:line="600" w:lineRule="exact"/>
        <w:ind w:firstLine="643" w:firstLineChars="200"/>
        <w:jc w:val="both"/>
        <w:rPr>
          <w:rFonts w:hint="eastAsia" w:ascii="方正仿宋_GBK" w:hAnsi="仿宋" w:eastAsia="方正仿宋_GBK" w:cs="仿宋"/>
          <w:color w:val="000000"/>
          <w:sz w:val="32"/>
          <w:szCs w:val="32"/>
        </w:rPr>
      </w:pPr>
      <w:r>
        <w:rPr>
          <w:rFonts w:hint="eastAsia" w:ascii="楷体" w:hAnsi="楷体" w:eastAsia="楷体" w:cs="楷体"/>
          <w:b/>
          <w:bCs w:val="0"/>
          <w:color w:val="000000"/>
          <w:sz w:val="32"/>
          <w:szCs w:val="32"/>
        </w:rPr>
        <w:t>（三）强化评估问效。</w:t>
      </w:r>
      <w:r>
        <w:rPr>
          <w:rFonts w:hint="eastAsia" w:ascii="仿宋" w:hAnsi="仿宋" w:eastAsia="仿宋" w:cs="仿宋"/>
          <w:color w:val="000000"/>
          <w:sz w:val="32"/>
          <w:szCs w:val="32"/>
        </w:rPr>
        <w:t>区政府将制定《规划》实施督查评估机制，定期对本规划落实情况进行检查评估，评估结果作为评价各单位和有关部门绩效的重要依据，同时通报《规划》实施的进度，研究解决遇到的问题，区消防救援大队要会同有关部门加强对《规划》实施情况的跟踪分析。各单位和相关部门不履行或不认真履行工作职责，对规划确定事项未依法依规实施审批和保障落实的，将依法依纪依规严格追究相关人员责任。</w:t>
      </w:r>
    </w:p>
    <w:p>
      <w:pPr>
        <w:widowControl w:val="0"/>
        <w:spacing w:after="0" w:line="600" w:lineRule="exact"/>
        <w:jc w:val="both"/>
        <w:rPr>
          <w:rFonts w:hint="eastAsia" w:ascii="仿宋" w:hAnsi="仿宋" w:eastAsia="仿宋" w:cs="仿宋"/>
          <w:color w:val="000000"/>
          <w:sz w:val="32"/>
          <w:szCs w:val="32"/>
        </w:rPr>
      </w:pPr>
      <w:r>
        <w:rPr>
          <w:rFonts w:hint="eastAsia" w:ascii="仿宋" w:hAnsi="仿宋" w:eastAsia="仿宋" w:cs="仿宋"/>
          <w:color w:val="000000"/>
          <w:sz w:val="32"/>
          <w:szCs w:val="32"/>
        </w:rPr>
        <w:t>附件1：</w:t>
      </w:r>
    </w:p>
    <w:p>
      <w:pPr>
        <w:widowControl w:val="0"/>
        <w:spacing w:after="0" w:line="60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名 称 解 释</w:t>
      </w:r>
    </w:p>
    <w:p>
      <w:pPr>
        <w:widowControl w:val="0"/>
        <w:spacing w:after="0" w:line="600" w:lineRule="exact"/>
        <w:jc w:val="center"/>
        <w:rPr>
          <w:rFonts w:hint="eastAsia" w:ascii="仿宋" w:hAnsi="仿宋" w:eastAsia="仿宋" w:cs="仿宋"/>
          <w:color w:val="000000"/>
          <w:sz w:val="32"/>
          <w:szCs w:val="32"/>
        </w:rPr>
      </w:pPr>
    </w:p>
    <w:p>
      <w:pPr>
        <w:pStyle w:val="3"/>
        <w:spacing w:after="0" w:line="600" w:lineRule="exact"/>
        <w:ind w:firstLine="643" w:firstLineChars="200"/>
        <w:rPr>
          <w:rFonts w:hint="eastAsia" w:ascii="仿宋" w:hAnsi="仿宋" w:eastAsia="仿宋" w:cs="仿宋"/>
          <w:color w:val="000000"/>
          <w:sz w:val="32"/>
          <w:szCs w:val="32"/>
        </w:rPr>
      </w:pPr>
      <w:r>
        <w:rPr>
          <w:rFonts w:hint="eastAsia" w:ascii="仿宋" w:hAnsi="仿宋" w:eastAsia="仿宋" w:cs="仿宋"/>
          <w:b/>
          <w:color w:val="000000"/>
          <w:sz w:val="32"/>
          <w:szCs w:val="32"/>
        </w:rPr>
        <w:t>1.“智赣119”：</w:t>
      </w:r>
      <w:r>
        <w:rPr>
          <w:rFonts w:hint="eastAsia" w:ascii="仿宋" w:hAnsi="仿宋" w:eastAsia="仿宋" w:cs="仿宋"/>
          <w:color w:val="000000"/>
          <w:sz w:val="32"/>
          <w:szCs w:val="32"/>
        </w:rPr>
        <w:t>指江西省智慧消防物联网建设应用。</w:t>
      </w:r>
    </w:p>
    <w:p>
      <w:pPr>
        <w:pStyle w:val="3"/>
        <w:spacing w:after="0" w:line="600" w:lineRule="exact"/>
        <w:ind w:firstLine="643" w:firstLineChars="200"/>
        <w:rPr>
          <w:rFonts w:hint="eastAsia" w:ascii="仿宋" w:hAnsi="仿宋" w:eastAsia="仿宋" w:cs="仿宋"/>
          <w:color w:val="000000"/>
          <w:sz w:val="32"/>
          <w:szCs w:val="32"/>
        </w:rPr>
      </w:pPr>
      <w:r>
        <w:rPr>
          <w:rFonts w:hint="eastAsia" w:ascii="仿宋" w:hAnsi="仿宋" w:eastAsia="仿宋" w:cs="仿宋"/>
          <w:b/>
          <w:color w:val="000000"/>
          <w:sz w:val="32"/>
          <w:szCs w:val="32"/>
        </w:rPr>
        <w:t>2.消防宣传“五进”活动：</w:t>
      </w:r>
      <w:r>
        <w:rPr>
          <w:rFonts w:hint="eastAsia" w:ascii="仿宋" w:hAnsi="仿宋" w:eastAsia="仿宋" w:cs="仿宋"/>
          <w:color w:val="000000"/>
          <w:sz w:val="32"/>
          <w:szCs w:val="32"/>
        </w:rPr>
        <w:t>指消防宣传“进企业、进农村、进社区、进学校、进家庭”活动。</w:t>
      </w:r>
    </w:p>
    <w:p>
      <w:pPr>
        <w:pStyle w:val="3"/>
        <w:spacing w:after="0" w:line="600" w:lineRule="exact"/>
        <w:ind w:firstLine="643" w:firstLineChars="200"/>
        <w:rPr>
          <w:rFonts w:hint="eastAsia" w:ascii="仿宋" w:hAnsi="仿宋" w:eastAsia="仿宋" w:cs="仿宋"/>
          <w:color w:val="000000"/>
          <w:sz w:val="32"/>
          <w:szCs w:val="32"/>
        </w:rPr>
      </w:pPr>
      <w:r>
        <w:rPr>
          <w:rFonts w:hint="eastAsia" w:ascii="仿宋" w:hAnsi="仿宋" w:eastAsia="仿宋" w:cs="仿宋"/>
          <w:b/>
          <w:color w:val="000000"/>
          <w:sz w:val="32"/>
          <w:szCs w:val="32"/>
        </w:rPr>
        <w:t>3. “四联”：</w:t>
      </w:r>
      <w:r>
        <w:rPr>
          <w:rFonts w:hint="eastAsia" w:ascii="仿宋" w:hAnsi="仿宋" w:eastAsia="仿宋" w:cs="仿宋"/>
          <w:color w:val="000000"/>
          <w:sz w:val="32"/>
          <w:szCs w:val="32"/>
        </w:rPr>
        <w:t>指联勤、联训、联调、联战。</w:t>
      </w:r>
    </w:p>
    <w:p>
      <w:pPr>
        <w:pStyle w:val="3"/>
        <w:spacing w:after="0" w:line="600" w:lineRule="exact"/>
        <w:ind w:firstLine="643" w:firstLineChars="200"/>
        <w:rPr>
          <w:rFonts w:hint="eastAsia" w:ascii="仿宋" w:hAnsi="仿宋" w:eastAsia="仿宋" w:cs="仿宋"/>
          <w:color w:val="000000"/>
          <w:sz w:val="32"/>
          <w:szCs w:val="32"/>
        </w:rPr>
      </w:pPr>
      <w:r>
        <w:rPr>
          <w:rFonts w:hint="eastAsia" w:ascii="仿宋" w:hAnsi="仿宋" w:eastAsia="仿宋" w:cs="仿宋"/>
          <w:b/>
          <w:color w:val="000000"/>
          <w:sz w:val="32"/>
          <w:szCs w:val="32"/>
        </w:rPr>
        <w:t>4.“一警六员”</w:t>
      </w:r>
      <w:r>
        <w:rPr>
          <w:rFonts w:hint="eastAsia" w:ascii="仿宋" w:hAnsi="仿宋" w:eastAsia="仿宋" w:cs="仿宋"/>
          <w:b/>
          <w:bCs/>
          <w:color w:val="000000"/>
          <w:sz w:val="32"/>
          <w:szCs w:val="32"/>
        </w:rPr>
        <w:t>：</w:t>
      </w:r>
      <w:r>
        <w:rPr>
          <w:rFonts w:hint="eastAsia" w:ascii="仿宋" w:hAnsi="仿宋" w:eastAsia="仿宋" w:cs="仿宋"/>
          <w:color w:val="000000"/>
          <w:sz w:val="32"/>
          <w:szCs w:val="32"/>
        </w:rPr>
        <w:t>指一线社区民警、多种形式消防队伍队员、村（居）委会工作人员、综治网格员、保安员、物业服务企业职员、消防安全重点单位工作职员。</w:t>
      </w:r>
    </w:p>
    <w:p>
      <w:pPr>
        <w:pStyle w:val="3"/>
        <w:spacing w:after="0" w:line="600" w:lineRule="exact"/>
        <w:ind w:firstLine="643" w:firstLineChars="200"/>
        <w:rPr>
          <w:rFonts w:hint="eastAsia" w:ascii="仿宋" w:hAnsi="仿宋" w:eastAsia="仿宋" w:cs="仿宋"/>
          <w:b/>
          <w:color w:val="000000"/>
          <w:sz w:val="32"/>
          <w:szCs w:val="32"/>
        </w:rPr>
      </w:pPr>
      <w:r>
        <w:rPr>
          <w:rFonts w:hint="eastAsia" w:ascii="仿宋" w:hAnsi="仿宋" w:eastAsia="仿宋" w:cs="仿宋"/>
          <w:b/>
          <w:bCs/>
          <w:color w:val="000000"/>
          <w:sz w:val="32"/>
          <w:szCs w:val="32"/>
        </w:rPr>
        <w:t>5.</w:t>
      </w:r>
      <w:r>
        <w:rPr>
          <w:rFonts w:hint="eastAsia" w:ascii="仿宋" w:hAnsi="仿宋" w:eastAsia="仿宋" w:cs="仿宋"/>
          <w:b/>
          <w:color w:val="000000"/>
          <w:sz w:val="32"/>
          <w:szCs w:val="32"/>
        </w:rPr>
        <w:t>“九小场所”：</w:t>
      </w:r>
      <w:r>
        <w:rPr>
          <w:rFonts w:hint="eastAsia" w:ascii="仿宋" w:hAnsi="仿宋" w:eastAsia="仿宋" w:cs="仿宋"/>
          <w:color w:val="000000"/>
          <w:sz w:val="32"/>
          <w:szCs w:val="32"/>
        </w:rPr>
        <w:t>指小商场、小学校（幼儿园）、小医院、小餐馆场所、小旅馆、小歌舞娱乐场、小网吧、小美容洗浴场所、小生产加工场所。</w:t>
      </w:r>
    </w:p>
    <w:p>
      <w:pPr>
        <w:pStyle w:val="3"/>
        <w:spacing w:after="0" w:line="600" w:lineRule="exact"/>
        <w:ind w:firstLine="643" w:firstLineChars="200"/>
        <w:rPr>
          <w:rFonts w:hint="eastAsia" w:ascii="仿宋" w:hAnsi="仿宋" w:eastAsia="仿宋" w:cs="仿宋"/>
          <w:color w:val="000000"/>
          <w:sz w:val="32"/>
          <w:szCs w:val="32"/>
        </w:rPr>
      </w:pPr>
      <w:r>
        <w:rPr>
          <w:rFonts w:hint="eastAsia" w:ascii="仿宋" w:hAnsi="仿宋" w:eastAsia="仿宋" w:cs="仿宋"/>
          <w:b/>
          <w:color w:val="000000"/>
          <w:sz w:val="32"/>
          <w:szCs w:val="32"/>
        </w:rPr>
        <w:t>6.单位消防安全“四个能力”建设</w:t>
      </w:r>
      <w:r>
        <w:rPr>
          <w:rFonts w:hint="eastAsia" w:ascii="仿宋" w:hAnsi="仿宋" w:eastAsia="仿宋" w:cs="仿宋"/>
          <w:b/>
          <w:bCs/>
          <w:color w:val="000000"/>
          <w:sz w:val="32"/>
          <w:szCs w:val="32"/>
        </w:rPr>
        <w:t>：</w:t>
      </w:r>
      <w:r>
        <w:rPr>
          <w:rFonts w:hint="eastAsia" w:ascii="仿宋" w:hAnsi="仿宋" w:eastAsia="仿宋" w:cs="仿宋"/>
          <w:color w:val="000000"/>
          <w:sz w:val="32"/>
          <w:szCs w:val="32"/>
        </w:rPr>
        <w:t>指检查消除火灾</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"https://baike.baidu.com/item/%E9%9A%90%E6%82%A3" \t "https://baike.baidu.com/item/%E6%B6%88%E9%98%B2%E5%9B%9B%E4%B8%AA%E8%83%BD%E5%8A%9B/_blank" </w:instrText>
      </w:r>
      <w:r>
        <w:rPr>
          <w:rFonts w:hint="eastAsia" w:ascii="仿宋" w:hAnsi="仿宋" w:eastAsia="仿宋" w:cs="仿宋"/>
          <w:sz w:val="32"/>
          <w:szCs w:val="32"/>
        </w:rPr>
        <w:fldChar w:fldCharType="separate"/>
      </w:r>
      <w:r>
        <w:rPr>
          <w:rFonts w:hint="eastAsia" w:ascii="仿宋" w:hAnsi="仿宋" w:eastAsia="仿宋" w:cs="仿宋"/>
          <w:color w:val="000000"/>
          <w:sz w:val="32"/>
          <w:szCs w:val="32"/>
        </w:rPr>
        <w:t>隐患</w:t>
      </w:r>
      <w:r>
        <w:rPr>
          <w:rFonts w:hint="eastAsia" w:ascii="仿宋" w:hAnsi="仿宋" w:eastAsia="仿宋" w:cs="仿宋"/>
          <w:color w:val="000000"/>
          <w:sz w:val="32"/>
          <w:szCs w:val="32"/>
        </w:rPr>
        <w:fldChar w:fldCharType="end"/>
      </w:r>
      <w:r>
        <w:rPr>
          <w:rFonts w:hint="eastAsia" w:ascii="仿宋" w:hAnsi="仿宋" w:eastAsia="仿宋" w:cs="仿宋"/>
          <w:color w:val="000000"/>
          <w:sz w:val="32"/>
          <w:szCs w:val="32"/>
        </w:rPr>
        <w:t>能力、扑救初期火灾能力、组织人员疏散</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"https://baike.baidu.com/item/%E9%80%83%E7%94%9F/44753" \t "https://baike.baidu.com/item/%E6%B6%88%E9%98%B2%E5%9B%9B%E4%B8%AA%E8%83%BD%E5%8A%9B/_blank" </w:instrText>
      </w:r>
      <w:r>
        <w:rPr>
          <w:rFonts w:hint="eastAsia" w:ascii="仿宋" w:hAnsi="仿宋" w:eastAsia="仿宋" w:cs="仿宋"/>
          <w:sz w:val="32"/>
          <w:szCs w:val="32"/>
        </w:rPr>
        <w:fldChar w:fldCharType="separate"/>
      </w:r>
      <w:r>
        <w:rPr>
          <w:rFonts w:hint="eastAsia" w:ascii="仿宋" w:hAnsi="仿宋" w:eastAsia="仿宋" w:cs="仿宋"/>
          <w:color w:val="000000"/>
          <w:sz w:val="32"/>
          <w:szCs w:val="32"/>
        </w:rPr>
        <w:t>逃生</w:t>
      </w:r>
      <w:r>
        <w:rPr>
          <w:rFonts w:hint="eastAsia" w:ascii="仿宋" w:hAnsi="仿宋" w:eastAsia="仿宋" w:cs="仿宋"/>
          <w:color w:val="000000"/>
          <w:sz w:val="32"/>
          <w:szCs w:val="32"/>
        </w:rPr>
        <w:fldChar w:fldCharType="end"/>
      </w:r>
      <w:r>
        <w:rPr>
          <w:rFonts w:hint="eastAsia" w:ascii="仿宋" w:hAnsi="仿宋" w:eastAsia="仿宋" w:cs="仿宋"/>
          <w:color w:val="000000"/>
          <w:sz w:val="32"/>
          <w:szCs w:val="32"/>
        </w:rPr>
        <w:t>能力、消防宣传教育培训能力。</w:t>
      </w:r>
    </w:p>
    <w:p>
      <w:pPr>
        <w:pStyle w:val="3"/>
        <w:spacing w:after="0" w:line="600" w:lineRule="exact"/>
        <w:ind w:firstLine="643" w:firstLineChars="200"/>
        <w:rPr>
          <w:rFonts w:hint="eastAsia" w:ascii="仿宋" w:hAnsi="仿宋" w:eastAsia="仿宋" w:cs="仿宋"/>
          <w:color w:val="000000"/>
          <w:sz w:val="32"/>
          <w:szCs w:val="32"/>
        </w:rPr>
      </w:pPr>
      <w:r>
        <w:rPr>
          <w:rFonts w:hint="eastAsia" w:ascii="仿宋" w:hAnsi="仿宋" w:eastAsia="仿宋" w:cs="仿宋"/>
          <w:b/>
          <w:color w:val="000000"/>
          <w:sz w:val="32"/>
          <w:szCs w:val="32"/>
        </w:rPr>
        <w:t>7.“五位一体”新型监管模式：</w:t>
      </w:r>
      <w:r>
        <w:rPr>
          <w:rFonts w:hint="eastAsia" w:ascii="仿宋" w:hAnsi="仿宋" w:eastAsia="仿宋" w:cs="仿宋"/>
          <w:color w:val="000000"/>
          <w:sz w:val="32"/>
          <w:szCs w:val="32"/>
        </w:rPr>
        <w:t>指以“双随机、一公开”监管为基本手段、重点监管为补充、信用监管为基础、“互联网+监管”为支撑、火灾事故责任调查处理为保障的消防监管模式。</w:t>
      </w:r>
    </w:p>
    <w:p>
      <w:pPr>
        <w:pStyle w:val="3"/>
        <w:spacing w:after="0" w:line="600" w:lineRule="exact"/>
        <w:ind w:firstLine="643" w:firstLineChars="200"/>
        <w:rPr>
          <w:rFonts w:hint="eastAsia" w:ascii="仿宋" w:hAnsi="仿宋" w:eastAsia="仿宋" w:cs="仿宋"/>
          <w:color w:val="000000"/>
          <w:sz w:val="32"/>
          <w:szCs w:val="32"/>
        </w:rPr>
      </w:pPr>
      <w:r>
        <w:rPr>
          <w:rFonts w:hint="eastAsia" w:ascii="仿宋" w:hAnsi="仿宋" w:eastAsia="仿宋" w:cs="仿宋"/>
          <w:b/>
          <w:color w:val="000000"/>
          <w:sz w:val="32"/>
          <w:szCs w:val="32"/>
        </w:rPr>
        <w:t>8.“三员一队”：</w:t>
      </w:r>
      <w:r>
        <w:rPr>
          <w:rFonts w:hint="eastAsia" w:ascii="仿宋" w:hAnsi="仿宋" w:eastAsia="仿宋" w:cs="仿宋"/>
          <w:color w:val="000000"/>
          <w:sz w:val="32"/>
          <w:szCs w:val="32"/>
        </w:rPr>
        <w:t>指灭火战斗员、火灾隐患巡查员、消防安全宣传员、为民服务队。</w:t>
      </w:r>
    </w:p>
    <w:p>
      <w:pPr>
        <w:pStyle w:val="3"/>
        <w:spacing w:after="0" w:line="600" w:lineRule="exact"/>
        <w:ind w:firstLine="643" w:firstLineChars="200"/>
        <w:rPr>
          <w:rFonts w:hint="eastAsia" w:ascii="仿宋" w:hAnsi="仿宋" w:eastAsia="仿宋" w:cs="仿宋"/>
          <w:spacing w:val="-4"/>
          <w:sz w:val="32"/>
          <w:szCs w:val="32"/>
        </w:rPr>
      </w:pPr>
      <w:r>
        <w:rPr>
          <w:rFonts w:hint="eastAsia" w:ascii="仿宋" w:hAnsi="仿宋" w:eastAsia="仿宋" w:cs="仿宋"/>
          <w:b/>
          <w:color w:val="000000"/>
          <w:sz w:val="32"/>
          <w:szCs w:val="32"/>
        </w:rPr>
        <w:t>9.</w:t>
      </w:r>
      <w:r>
        <w:rPr>
          <w:rFonts w:hint="eastAsia" w:ascii="仿宋" w:hAnsi="仿宋" w:eastAsia="仿宋" w:cs="仿宋"/>
          <w:b/>
          <w:spacing w:val="-4"/>
          <w:sz w:val="32"/>
          <w:szCs w:val="32"/>
        </w:rPr>
        <w:t xml:space="preserve"> </w:t>
      </w:r>
      <w:r>
        <w:rPr>
          <w:rFonts w:hint="eastAsia" w:ascii="仿宋" w:hAnsi="仿宋" w:eastAsia="仿宋" w:cs="仿宋"/>
          <w:b/>
          <w:color w:val="000000"/>
          <w:sz w:val="32"/>
          <w:szCs w:val="32"/>
        </w:rPr>
        <w:t>“双随机、一公开”：</w:t>
      </w:r>
      <w:r>
        <w:rPr>
          <w:rFonts w:hint="eastAsia" w:ascii="仿宋" w:hAnsi="仿宋" w:eastAsia="仿宋" w:cs="仿宋"/>
          <w:color w:val="333333"/>
          <w:sz w:val="32"/>
          <w:szCs w:val="32"/>
          <w:shd w:val="clear" w:color="auto" w:fill="FFFFFF"/>
        </w:rPr>
        <w:t>即在监管过程中随机抽取检查对象，随机选派执法检查人员，抽查情况及查处结果及时向社会公开。</w:t>
      </w:r>
    </w:p>
    <w:p>
      <w:pPr>
        <w:pStyle w:val="3"/>
        <w:spacing w:after="0" w:line="600" w:lineRule="exact"/>
        <w:ind w:firstLine="643" w:firstLineChars="200"/>
        <w:rPr>
          <w:rFonts w:hint="eastAsia" w:ascii="仿宋" w:hAnsi="仿宋" w:eastAsia="仿宋" w:cs="仿宋"/>
          <w:bCs/>
          <w:color w:val="000000"/>
          <w:sz w:val="32"/>
          <w:szCs w:val="32"/>
        </w:rPr>
      </w:pPr>
      <w:r>
        <w:rPr>
          <w:rFonts w:hint="eastAsia" w:ascii="仿宋" w:hAnsi="仿宋" w:eastAsia="仿宋" w:cs="仿宋"/>
          <w:b/>
          <w:bCs/>
          <w:color w:val="000000"/>
          <w:sz w:val="32"/>
          <w:szCs w:val="32"/>
        </w:rPr>
        <w:t>10</w:t>
      </w:r>
      <w:r>
        <w:rPr>
          <w:rFonts w:hint="eastAsia" w:ascii="仿宋" w:hAnsi="仿宋" w:eastAsia="仿宋" w:cs="仿宋"/>
          <w:b/>
          <w:color w:val="000000"/>
          <w:sz w:val="32"/>
          <w:szCs w:val="32"/>
        </w:rPr>
        <w:t>.</w:t>
      </w:r>
      <w:r>
        <w:rPr>
          <w:rFonts w:hint="eastAsia" w:ascii="仿宋" w:hAnsi="仿宋" w:eastAsia="仿宋" w:cs="仿宋"/>
          <w:b/>
          <w:bCs/>
          <w:color w:val="000000"/>
          <w:sz w:val="32"/>
          <w:szCs w:val="32"/>
        </w:rPr>
        <w:t xml:space="preserve"> “三合一”：</w:t>
      </w:r>
      <w:r>
        <w:rPr>
          <w:rFonts w:hint="eastAsia" w:ascii="仿宋" w:hAnsi="仿宋" w:eastAsia="仿宋" w:cs="仿宋"/>
          <w:color w:val="333333"/>
          <w:sz w:val="32"/>
          <w:szCs w:val="32"/>
          <w:shd w:val="clear" w:color="auto" w:fill="FFFFFF"/>
        </w:rPr>
        <w:t>住宿与生产、仓储、经营一种或一种以上使用功能违章混合设置在同一空间内的建筑。</w:t>
      </w:r>
    </w:p>
    <w:p>
      <w:pPr>
        <w:pStyle w:val="3"/>
        <w:spacing w:after="0" w:line="600" w:lineRule="exact"/>
        <w:ind w:firstLine="643" w:firstLineChars="200"/>
        <w:rPr>
          <w:rFonts w:hint="eastAsia" w:ascii="仿宋" w:hAnsi="仿宋" w:eastAsia="仿宋" w:cs="仿宋"/>
          <w:color w:val="333333"/>
          <w:sz w:val="32"/>
          <w:szCs w:val="32"/>
          <w:shd w:val="clear" w:color="auto" w:fill="FFFFFF"/>
        </w:rPr>
      </w:pPr>
      <w:r>
        <w:rPr>
          <w:rFonts w:hint="eastAsia" w:ascii="仿宋" w:hAnsi="仿宋" w:eastAsia="仿宋" w:cs="仿宋"/>
          <w:b/>
          <w:bCs/>
          <w:color w:val="000000"/>
          <w:sz w:val="32"/>
          <w:szCs w:val="32"/>
        </w:rPr>
        <w:t>11</w:t>
      </w:r>
      <w:r>
        <w:rPr>
          <w:rFonts w:hint="eastAsia" w:ascii="仿宋" w:hAnsi="仿宋" w:eastAsia="仿宋" w:cs="仿宋"/>
          <w:b/>
          <w:color w:val="000000"/>
          <w:sz w:val="32"/>
          <w:szCs w:val="32"/>
        </w:rPr>
        <w:t>.</w:t>
      </w:r>
      <w:r>
        <w:rPr>
          <w:rFonts w:hint="eastAsia" w:ascii="仿宋" w:hAnsi="仿宋" w:eastAsia="仿宋" w:cs="仿宋"/>
          <w:b/>
          <w:bCs/>
          <w:color w:val="000000"/>
          <w:sz w:val="32"/>
          <w:szCs w:val="32"/>
        </w:rPr>
        <w:t xml:space="preserve"> “多合一”：</w:t>
      </w:r>
      <w:r>
        <w:rPr>
          <w:rFonts w:hint="eastAsia" w:ascii="仿宋" w:hAnsi="仿宋" w:eastAsia="仿宋" w:cs="仿宋"/>
          <w:color w:val="333333"/>
          <w:sz w:val="32"/>
          <w:szCs w:val="32"/>
          <w:shd w:val="clear" w:color="auto" w:fill="FFFFFF"/>
        </w:rPr>
        <w:t>在“三合一”的基础上增加办公室，厨房等用途的建筑。</w:t>
      </w:r>
    </w:p>
    <w:p>
      <w:pPr>
        <w:pStyle w:val="3"/>
        <w:spacing w:after="0" w:line="600" w:lineRule="exact"/>
        <w:ind w:firstLine="643" w:firstLineChars="200"/>
        <w:rPr>
          <w:rFonts w:hint="eastAsia" w:ascii="仿宋" w:hAnsi="仿宋" w:eastAsia="仿宋" w:cs="仿宋"/>
          <w:color w:val="000000"/>
          <w:sz w:val="32"/>
          <w:szCs w:val="32"/>
        </w:rPr>
      </w:pPr>
      <w:r>
        <w:rPr>
          <w:rFonts w:hint="eastAsia" w:ascii="仿宋" w:hAnsi="仿宋" w:eastAsia="仿宋" w:cs="仿宋"/>
          <w:b/>
          <w:color w:val="000000"/>
          <w:sz w:val="32"/>
          <w:szCs w:val="32"/>
        </w:rPr>
        <w:t>12. “六化”：</w:t>
      </w:r>
      <w:r>
        <w:rPr>
          <w:rFonts w:hint="eastAsia" w:ascii="仿宋" w:hAnsi="仿宋" w:eastAsia="仿宋" w:cs="仿宋"/>
          <w:color w:val="000000"/>
          <w:sz w:val="32"/>
          <w:szCs w:val="32"/>
        </w:rPr>
        <w:t>指信息自动化、图像可视化、调度扁平化、指挥智能化、资源多元化、管理规范化。</w:t>
      </w:r>
    </w:p>
    <w:p>
      <w:pPr>
        <w:widowControl w:val="0"/>
        <w:spacing w:after="0" w:line="600" w:lineRule="exact"/>
        <w:rPr>
          <w:rFonts w:hint="eastAsia" w:ascii="仿宋" w:hAnsi="仿宋" w:eastAsia="仿宋" w:cs="仿宋"/>
          <w:color w:val="000000"/>
          <w:sz w:val="32"/>
          <w:szCs w:val="32"/>
        </w:rPr>
      </w:pPr>
    </w:p>
    <w:p>
      <w:pPr>
        <w:spacing w:line="560" w:lineRule="exact"/>
        <w:rPr>
          <w:rFonts w:ascii="仿宋_GB2312" w:hAnsi="仿宋_GB2312" w:eastAsia="仿宋_GB2312" w:cs="仿宋_GB2312"/>
          <w:color w:val="000000"/>
          <w:sz w:val="32"/>
          <w:szCs w:val="32"/>
        </w:rPr>
      </w:pPr>
    </w:p>
    <w:p>
      <w:pPr>
        <w:spacing w:line="560" w:lineRule="exact"/>
        <w:rPr>
          <w:rFonts w:ascii="仿宋_GB2312" w:hAnsi="仿宋_GB2312" w:eastAsia="仿宋_GB2312" w:cs="仿宋_GB2312"/>
          <w:color w:val="000000"/>
          <w:sz w:val="32"/>
          <w:szCs w:val="32"/>
        </w:rPr>
      </w:pPr>
    </w:p>
    <w:p>
      <w:pPr>
        <w:spacing w:line="560" w:lineRule="exact"/>
        <w:rPr>
          <w:rFonts w:ascii="仿宋_GB2312" w:hAnsi="仿宋_GB2312" w:eastAsia="仿宋_GB2312" w:cs="仿宋_GB2312"/>
          <w:color w:val="000000"/>
          <w:sz w:val="32"/>
          <w:szCs w:val="32"/>
        </w:rPr>
      </w:pPr>
    </w:p>
    <w:p>
      <w:pPr>
        <w:spacing w:line="560" w:lineRule="exact"/>
        <w:rPr>
          <w:rFonts w:ascii="仿宋_GB2312" w:hAnsi="仿宋_GB2312" w:eastAsia="仿宋_GB2312" w:cs="仿宋_GB2312"/>
          <w:color w:val="000000"/>
          <w:sz w:val="32"/>
          <w:szCs w:val="32"/>
        </w:rPr>
      </w:pPr>
    </w:p>
    <w:p>
      <w:pPr>
        <w:spacing w:line="560" w:lineRule="exact"/>
        <w:rPr>
          <w:rFonts w:ascii="仿宋_GB2312" w:hAnsi="仿宋_GB2312" w:eastAsia="仿宋_GB2312" w:cs="仿宋_GB2312"/>
          <w:color w:val="000000"/>
          <w:sz w:val="32"/>
          <w:szCs w:val="32"/>
        </w:rPr>
      </w:pPr>
    </w:p>
    <w:p>
      <w:pPr>
        <w:spacing w:line="560" w:lineRule="exact"/>
        <w:rPr>
          <w:rFonts w:ascii="仿宋_GB2312" w:hAnsi="仿宋_GB2312" w:eastAsia="仿宋_GB2312" w:cs="仿宋_GB2312"/>
          <w:color w:val="000000"/>
          <w:sz w:val="32"/>
          <w:szCs w:val="32"/>
        </w:rPr>
      </w:pPr>
    </w:p>
    <w:p>
      <w:pPr>
        <w:spacing w:line="560" w:lineRule="exact"/>
        <w:rPr>
          <w:rFonts w:ascii="仿宋_GB2312" w:hAnsi="仿宋_GB2312" w:eastAsia="仿宋_GB2312" w:cs="仿宋_GB2312"/>
          <w:color w:val="000000"/>
          <w:sz w:val="32"/>
          <w:szCs w:val="32"/>
        </w:rPr>
      </w:pPr>
    </w:p>
    <w:p>
      <w:pPr>
        <w:spacing w:line="560" w:lineRule="exact"/>
        <w:rPr>
          <w:rFonts w:ascii="仿宋_GB2312" w:hAnsi="仿宋_GB2312" w:eastAsia="仿宋_GB2312" w:cs="仿宋_GB2312"/>
          <w:color w:val="000000"/>
          <w:sz w:val="32"/>
          <w:szCs w:val="32"/>
        </w:rPr>
      </w:pPr>
    </w:p>
    <w:p>
      <w:pPr>
        <w:spacing w:line="560" w:lineRule="exact"/>
        <w:rPr>
          <w:rFonts w:ascii="仿宋_GB2312" w:hAnsi="仿宋_GB2312" w:eastAsia="仿宋_GB2312" w:cs="仿宋_GB2312"/>
          <w:color w:val="000000"/>
          <w:sz w:val="32"/>
          <w:szCs w:val="32"/>
        </w:rPr>
      </w:pPr>
    </w:p>
    <w:p>
      <w:pPr>
        <w:spacing w:line="560" w:lineRule="exact"/>
        <w:rPr>
          <w:rFonts w:ascii="仿宋_GB2312" w:hAnsi="仿宋_GB2312" w:eastAsia="仿宋_GB2312" w:cs="仿宋_GB2312"/>
          <w:color w:val="000000"/>
          <w:sz w:val="32"/>
          <w:szCs w:val="32"/>
        </w:rPr>
      </w:pPr>
    </w:p>
    <w:p>
      <w:pPr>
        <w:spacing w:line="560" w:lineRule="exact"/>
        <w:rPr>
          <w:rFonts w:ascii="仿宋_GB2312" w:hAnsi="仿宋_GB2312" w:eastAsia="仿宋_GB2312" w:cs="仿宋_GB2312"/>
          <w:color w:val="000000"/>
          <w:sz w:val="32"/>
          <w:szCs w:val="32"/>
        </w:rPr>
      </w:pPr>
    </w:p>
    <w:p>
      <w:pPr>
        <w:spacing w:line="560" w:lineRule="exact"/>
        <w:rPr>
          <w:rFonts w:ascii="仿宋_GB2312" w:hAnsi="仿宋_GB2312" w:eastAsia="仿宋_GB2312" w:cs="仿宋_GB2312"/>
          <w:color w:val="000000"/>
          <w:sz w:val="32"/>
          <w:szCs w:val="32"/>
        </w:rPr>
      </w:pPr>
    </w:p>
    <w:p>
      <w:pPr>
        <w:spacing w:line="560" w:lineRule="exact"/>
        <w:rPr>
          <w:rFonts w:ascii="仿宋_GB2312" w:hAnsi="仿宋_GB2312" w:eastAsia="仿宋_GB2312" w:cs="仿宋_GB2312"/>
          <w:color w:val="000000"/>
          <w:sz w:val="32"/>
          <w:szCs w:val="32"/>
        </w:rPr>
      </w:pPr>
    </w:p>
    <w:p>
      <w:pPr>
        <w:spacing w:line="560" w:lineRule="exact"/>
        <w:rPr>
          <w:rFonts w:ascii="仿宋_GB2312" w:hAnsi="仿宋_GB2312" w:eastAsia="仿宋_GB2312" w:cs="仿宋_GB2312"/>
          <w:color w:val="000000"/>
          <w:sz w:val="32"/>
          <w:szCs w:val="32"/>
        </w:rPr>
      </w:pPr>
    </w:p>
    <w:p>
      <w:pPr>
        <w:spacing w:line="560" w:lineRule="exact"/>
        <w:rPr>
          <w:rFonts w:ascii="仿宋_GB2312" w:hAnsi="仿宋_GB2312" w:eastAsia="仿宋_GB2312" w:cs="仿宋_GB2312"/>
          <w:color w:val="000000"/>
          <w:sz w:val="32"/>
          <w:szCs w:val="32"/>
        </w:rPr>
      </w:pPr>
    </w:p>
    <w:p>
      <w:pPr>
        <w:spacing w:line="560" w:lineRule="exact"/>
        <w:rPr>
          <w:rFonts w:ascii="仿宋_GB2312" w:hAnsi="仿宋_GB2312" w:eastAsia="仿宋_GB2312" w:cs="仿宋_GB2312"/>
          <w:color w:val="000000"/>
          <w:sz w:val="32"/>
          <w:szCs w:val="32"/>
        </w:rPr>
      </w:pPr>
    </w:p>
    <w:p>
      <w:pPr>
        <w:spacing w:line="560" w:lineRule="exact"/>
        <w:rPr>
          <w:rFonts w:ascii="仿宋_GB2312" w:hAnsi="仿宋_GB2312" w:eastAsia="仿宋_GB2312" w:cs="仿宋_GB2312"/>
          <w:color w:val="000000"/>
          <w:sz w:val="32"/>
          <w:szCs w:val="32"/>
        </w:rPr>
      </w:pPr>
    </w:p>
    <w:p>
      <w:pPr>
        <w:spacing w:line="560" w:lineRule="exact"/>
        <w:rPr>
          <w:rFonts w:ascii="仿宋_GB2312" w:hAnsi="仿宋_GB2312" w:eastAsia="仿宋_GB2312" w:cs="仿宋_GB2312"/>
          <w:color w:val="000000"/>
          <w:sz w:val="32"/>
          <w:szCs w:val="32"/>
        </w:rPr>
      </w:pPr>
    </w:p>
    <w:p>
      <w:pPr>
        <w:spacing w:line="560" w:lineRule="exact"/>
        <w:rPr>
          <w:rFonts w:ascii="仿宋_GB2312" w:hAnsi="仿宋_GB2312" w:eastAsia="仿宋_GB2312" w:cs="仿宋_GB2312"/>
          <w:color w:val="000000"/>
          <w:sz w:val="32"/>
          <w:szCs w:val="32"/>
        </w:rPr>
      </w:pPr>
    </w:p>
    <w:p>
      <w:pPr>
        <w:spacing w:line="560" w:lineRule="exact"/>
        <w:rPr>
          <w:rFonts w:ascii="仿宋_GB2312" w:hAnsi="仿宋_GB2312" w:eastAsia="仿宋_GB2312" w:cs="仿宋_GB2312"/>
          <w:color w:val="000000"/>
          <w:sz w:val="32"/>
          <w:szCs w:val="32"/>
        </w:rPr>
      </w:pPr>
    </w:p>
    <w:p>
      <w:pPr>
        <w:spacing w:line="560" w:lineRule="exact"/>
        <w:rPr>
          <w:rFonts w:ascii="仿宋_GB2312" w:hAnsi="仿宋_GB2312" w:eastAsia="仿宋_GB2312" w:cs="仿宋_GB2312"/>
          <w:color w:val="000000"/>
          <w:sz w:val="32"/>
          <w:szCs w:val="32"/>
        </w:rPr>
      </w:pPr>
    </w:p>
    <w:p>
      <w:pPr>
        <w:spacing w:line="560" w:lineRule="exact"/>
        <w:rPr>
          <w:rFonts w:ascii="仿宋_GB2312" w:hAnsi="仿宋_GB2312" w:eastAsia="仿宋_GB2312" w:cs="仿宋_GB2312"/>
          <w:color w:val="000000"/>
          <w:sz w:val="32"/>
          <w:szCs w:val="32"/>
        </w:rPr>
      </w:pPr>
    </w:p>
    <w:p>
      <w:pPr>
        <w:spacing w:line="560" w:lineRule="exact"/>
        <w:rPr>
          <w:rFonts w:ascii="仿宋_GB2312" w:hAnsi="仿宋_GB2312" w:eastAsia="仿宋_GB2312" w:cs="仿宋_GB2312"/>
          <w:color w:val="000000"/>
          <w:sz w:val="32"/>
          <w:szCs w:val="32"/>
        </w:rPr>
      </w:pPr>
    </w:p>
    <w:p>
      <w:pPr>
        <w:spacing w:line="560" w:lineRule="exact"/>
        <w:rPr>
          <w:rFonts w:ascii="仿宋_GB2312" w:hAnsi="仿宋_GB2312" w:eastAsia="仿宋_GB2312" w:cs="仿宋_GB2312"/>
          <w:color w:val="000000"/>
          <w:sz w:val="32"/>
          <w:szCs w:val="32"/>
        </w:rPr>
      </w:pPr>
    </w:p>
    <w:p>
      <w:pPr>
        <w:spacing w:line="560" w:lineRule="exact"/>
        <w:rPr>
          <w:rFonts w:ascii="仿宋_GB2312" w:hAnsi="仿宋_GB2312" w:eastAsia="仿宋_GB2312" w:cs="仿宋_GB2312"/>
          <w:color w:val="000000"/>
          <w:sz w:val="32"/>
          <w:szCs w:val="32"/>
        </w:rPr>
      </w:pPr>
    </w:p>
    <w:p>
      <w:pPr>
        <w:spacing w:line="560" w:lineRule="exact"/>
        <w:rPr>
          <w:rFonts w:ascii="仿宋_GB2312" w:hAnsi="仿宋_GB2312" w:eastAsia="仿宋_GB2312" w:cs="仿宋_GB2312"/>
          <w:color w:val="000000"/>
          <w:sz w:val="32"/>
          <w:szCs w:val="32"/>
        </w:rPr>
      </w:pPr>
    </w:p>
    <w:p>
      <w:pPr>
        <w:spacing w:line="560" w:lineRule="exact"/>
        <w:rPr>
          <w:rFonts w:ascii="仿宋_GB2312" w:hAnsi="仿宋_GB2312" w:eastAsia="仿宋_GB2312" w:cs="仿宋_GB2312"/>
          <w:color w:val="000000"/>
          <w:sz w:val="32"/>
          <w:szCs w:val="32"/>
        </w:rPr>
      </w:pPr>
    </w:p>
    <w:p>
      <w:pPr>
        <w:spacing w:line="560" w:lineRule="exact"/>
        <w:rPr>
          <w:rFonts w:ascii="仿宋_GB2312" w:hAnsi="仿宋_GB2312" w:eastAsia="仿宋_GB2312" w:cs="仿宋_GB2312"/>
          <w:color w:val="000000"/>
          <w:sz w:val="32"/>
          <w:szCs w:val="32"/>
        </w:rPr>
      </w:pPr>
    </w:p>
    <w:p>
      <w:pPr>
        <w:spacing w:line="560" w:lineRule="exact"/>
        <w:rPr>
          <w:rFonts w:ascii="仿宋_GB2312" w:hAnsi="仿宋_GB2312" w:eastAsia="仿宋_GB2312" w:cs="仿宋_GB2312"/>
          <w:color w:val="000000"/>
          <w:sz w:val="32"/>
          <w:szCs w:val="32"/>
        </w:rPr>
      </w:pPr>
    </w:p>
    <w:p>
      <w:pPr>
        <w:spacing w:line="560" w:lineRule="exact"/>
        <w:rPr>
          <w:rFonts w:ascii="仿宋_GB2312" w:hAnsi="仿宋_GB2312" w:eastAsia="仿宋_GB2312" w:cs="仿宋_GB2312"/>
          <w:color w:val="000000"/>
          <w:sz w:val="32"/>
          <w:szCs w:val="32"/>
        </w:rPr>
      </w:pPr>
    </w:p>
    <w:p>
      <w:pPr>
        <w:spacing w:line="560" w:lineRule="exact"/>
        <w:rPr>
          <w:rFonts w:ascii="仿宋_GB2312" w:hAnsi="仿宋_GB2312" w:eastAsia="仿宋_GB2312" w:cs="仿宋_GB2312"/>
          <w:color w:val="000000"/>
          <w:sz w:val="32"/>
          <w:szCs w:val="32"/>
        </w:rPr>
      </w:pPr>
    </w:p>
    <w:p>
      <w:pPr>
        <w:spacing w:line="560" w:lineRule="exact"/>
        <w:rPr>
          <w:rFonts w:ascii="仿宋_GB2312" w:hAnsi="仿宋_GB2312" w:eastAsia="仿宋_GB2312" w:cs="仿宋_GB2312"/>
          <w:color w:val="000000"/>
          <w:sz w:val="32"/>
          <w:szCs w:val="32"/>
        </w:rPr>
      </w:pPr>
    </w:p>
    <w:p>
      <w:pPr>
        <w:spacing w:line="560" w:lineRule="exact"/>
        <w:rPr>
          <w:rFonts w:ascii="仿宋_GB2312" w:hAnsi="仿宋_GB2312" w:eastAsia="仿宋_GB2312" w:cs="仿宋_GB2312"/>
          <w:color w:val="000000"/>
          <w:sz w:val="32"/>
          <w:szCs w:val="32"/>
        </w:rPr>
      </w:pPr>
    </w:p>
    <w:p>
      <w:pPr>
        <w:spacing w:line="560" w:lineRule="exact"/>
        <w:rPr>
          <w:rFonts w:ascii="仿宋_GB2312" w:hAnsi="仿宋_GB2312" w:eastAsia="仿宋_GB2312" w:cs="仿宋_GB2312"/>
          <w:color w:val="000000"/>
          <w:sz w:val="32"/>
          <w:szCs w:val="32"/>
        </w:rPr>
      </w:pPr>
    </w:p>
    <w:p>
      <w:pPr>
        <w:spacing w:line="560" w:lineRule="exact"/>
        <w:rPr>
          <w:rFonts w:ascii="仿宋_GB2312" w:hAnsi="仿宋_GB2312" w:eastAsia="仿宋_GB2312" w:cs="仿宋_GB2312"/>
          <w:color w:val="000000"/>
          <w:sz w:val="32"/>
          <w:szCs w:val="32"/>
        </w:rPr>
      </w:pPr>
    </w:p>
    <w:p>
      <w:pPr>
        <w:spacing w:line="560" w:lineRule="exact"/>
        <w:rPr>
          <w:rFonts w:ascii="仿宋_GB2312" w:hAnsi="仿宋_GB2312" w:eastAsia="仿宋_GB2312" w:cs="仿宋_GB2312"/>
          <w:color w:val="000000"/>
          <w:sz w:val="32"/>
          <w:szCs w:val="32"/>
        </w:rPr>
      </w:pPr>
    </w:p>
    <w:p>
      <w:pPr>
        <w:spacing w:line="560" w:lineRule="exact"/>
        <w:rPr>
          <w:rFonts w:ascii="仿宋_GB2312" w:hAnsi="仿宋_GB2312" w:eastAsia="仿宋_GB2312" w:cs="仿宋_GB2312"/>
          <w:color w:val="000000"/>
          <w:sz w:val="32"/>
          <w:szCs w:val="32"/>
        </w:rPr>
      </w:pPr>
    </w:p>
    <w:p>
      <w:pPr>
        <w:spacing w:line="560" w:lineRule="exact"/>
        <w:rPr>
          <w:rFonts w:ascii="仿宋_GB2312" w:hAnsi="仿宋_GB2312" w:eastAsia="仿宋_GB2312" w:cs="仿宋_GB2312"/>
          <w:color w:val="000000"/>
          <w:sz w:val="32"/>
          <w:szCs w:val="32"/>
        </w:rPr>
      </w:pPr>
    </w:p>
    <w:p>
      <w:pPr>
        <w:spacing w:line="560" w:lineRule="exact"/>
        <w:rPr>
          <w:rFonts w:ascii="仿宋_GB2312" w:hAnsi="仿宋_GB2312" w:eastAsia="仿宋_GB2312" w:cs="仿宋_GB2312"/>
          <w:color w:val="000000"/>
          <w:sz w:val="32"/>
          <w:szCs w:val="32"/>
        </w:rPr>
      </w:pPr>
    </w:p>
    <w:p>
      <w:pPr>
        <w:keepNext w:val="0"/>
        <w:keepLines w:val="0"/>
        <w:pageBreakBefore w:val="0"/>
        <w:widowControl w:val="0"/>
        <w:pBdr>
          <w:top w:val="single" w:color="auto" w:sz="6" w:space="1"/>
          <w:bottom w:val="single" w:color="auto" w:sz="6" w:space="0"/>
        </w:pBdr>
        <w:kinsoku/>
        <w:overflowPunct/>
        <w:topLinePunct w:val="0"/>
        <w:autoSpaceDE/>
        <w:autoSpaceDN/>
        <w:bidi w:val="0"/>
        <w:adjustRightInd/>
        <w:snapToGrid/>
        <w:spacing w:line="440" w:lineRule="exact"/>
        <w:ind w:left="0" w:leftChars="0" w:right="0" w:rightChars="0"/>
        <w:textAlignment w:val="auto"/>
        <w:outlineLvl w:val="9"/>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昌江区人民政府</w:t>
      </w:r>
      <w:r>
        <w:rPr>
          <w:rFonts w:hint="eastAsia" w:ascii="仿宋" w:hAnsi="仿宋" w:eastAsia="仿宋" w:cs="仿宋"/>
          <w:sz w:val="32"/>
          <w:szCs w:val="32"/>
          <w:lang w:eastAsia="zh-CN"/>
        </w:rPr>
        <w:t>办公室</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20</w:t>
      </w:r>
      <w:r>
        <w:rPr>
          <w:rFonts w:hint="eastAsia" w:ascii="仿宋" w:hAnsi="仿宋" w:eastAsia="仿宋" w:cs="仿宋"/>
          <w:sz w:val="32"/>
          <w:szCs w:val="32"/>
          <w:lang w:val="en-US" w:eastAsia="zh-CN"/>
        </w:rPr>
        <w:t>21</w:t>
      </w:r>
      <w:r>
        <w:rPr>
          <w:rFonts w:hint="eastAsia" w:ascii="仿宋" w:hAnsi="仿宋" w:eastAsia="仿宋" w:cs="仿宋"/>
          <w:sz w:val="32"/>
          <w:szCs w:val="32"/>
        </w:rPr>
        <w:t>年</w:t>
      </w:r>
      <w:r>
        <w:rPr>
          <w:rFonts w:hint="eastAsia" w:ascii="仿宋" w:hAnsi="仿宋" w:eastAsia="仿宋" w:cs="仿宋"/>
          <w:sz w:val="32"/>
          <w:szCs w:val="32"/>
          <w:lang w:val="en-US" w:eastAsia="zh-CN"/>
        </w:rPr>
        <w:t>12</w:t>
      </w:r>
      <w:r>
        <w:rPr>
          <w:rFonts w:hint="eastAsia" w:ascii="仿宋" w:hAnsi="仿宋" w:eastAsia="仿宋" w:cs="仿宋"/>
          <w:sz w:val="32"/>
          <w:szCs w:val="32"/>
        </w:rPr>
        <w:t>月</w:t>
      </w:r>
      <w:r>
        <w:rPr>
          <w:rFonts w:hint="eastAsia" w:ascii="仿宋" w:hAnsi="仿宋" w:eastAsia="仿宋" w:cs="仿宋"/>
          <w:sz w:val="32"/>
          <w:szCs w:val="32"/>
          <w:lang w:val="en-US" w:eastAsia="zh-CN"/>
        </w:rPr>
        <w:t>23</w:t>
      </w:r>
      <w:r>
        <w:rPr>
          <w:rFonts w:hint="eastAsia" w:ascii="仿宋" w:hAnsi="仿宋" w:eastAsia="仿宋" w:cs="仿宋"/>
          <w:sz w:val="32"/>
          <w:szCs w:val="32"/>
        </w:rPr>
        <w:t>日印发</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82F20C2-168A-4DE8-8995-564DA938E91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embedRegular r:id="rId2" w:fontKey="{919B761D-83B1-4A06-BB58-B365AD8A54B1}"/>
  </w:font>
  <w:font w:name="方正小标宋简体">
    <w:panose1 w:val="03000509000000000000"/>
    <w:charset w:val="86"/>
    <w:family w:val="auto"/>
    <w:pitch w:val="default"/>
    <w:sig w:usb0="00000001" w:usb1="080E0000" w:usb2="00000000" w:usb3="00000000" w:csb0="00040000" w:csb1="00000000"/>
    <w:embedRegular r:id="rId3" w:fontKey="{08348D90-91A6-4B3E-9F13-BB19DF1408BB}"/>
  </w:font>
  <w:font w:name="仿宋_GB2312">
    <w:panose1 w:val="02010609030101010101"/>
    <w:charset w:val="86"/>
    <w:family w:val="modern"/>
    <w:pitch w:val="default"/>
    <w:sig w:usb0="00000001" w:usb1="080E0000" w:usb2="00000000" w:usb3="00000000" w:csb0="00040000" w:csb1="00000000"/>
    <w:embedRegular r:id="rId4" w:fontKey="{828E8B65-5C59-4332-9E4A-BDF811B75FBE}"/>
  </w:font>
  <w:font w:name="方正仿宋_GBK">
    <w:altName w:val="微软雅黑"/>
    <w:panose1 w:val="00000000000000000000"/>
    <w:charset w:val="86"/>
    <w:family w:val="script"/>
    <w:pitch w:val="default"/>
    <w:sig w:usb0="00000000" w:usb1="00000000" w:usb2="00000010" w:usb3="00000000" w:csb0="00040000" w:csb1="00000000"/>
    <w:embedRegular r:id="rId5" w:fontKey="{3232E3ED-5A20-43D6-A16B-CBE4B5478018}"/>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embedRegular r:id="rId6" w:fontKey="{4F467E7C-3CD1-4B18-9FE0-A48FC7F0DD9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dit="forms" w:enforcement="1" w:cryptProviderType="rsaFull" w:cryptAlgorithmClass="hash" w:cryptAlgorithmType="typeAny" w:cryptAlgorithmSid="4" w:cryptSpinCount="0" w:hash="v7w4BQinTmrR/SgDXK0EMBaHOGs=" w:salt="uo7VY0KX+upZ1pKXXWP+/Q=="/>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0641"/>
    <w:rsid w:val="003F5204"/>
    <w:rsid w:val="00420A0E"/>
    <w:rsid w:val="0043504B"/>
    <w:rsid w:val="00625A8D"/>
    <w:rsid w:val="00702AF2"/>
    <w:rsid w:val="0070441D"/>
    <w:rsid w:val="007C42AB"/>
    <w:rsid w:val="0087425D"/>
    <w:rsid w:val="008E4725"/>
    <w:rsid w:val="00947AA1"/>
    <w:rsid w:val="00A153A9"/>
    <w:rsid w:val="00BA10FF"/>
    <w:rsid w:val="00BB787E"/>
    <w:rsid w:val="00C11189"/>
    <w:rsid w:val="00D87E19"/>
    <w:rsid w:val="00F2673B"/>
    <w:rsid w:val="0658526E"/>
    <w:rsid w:val="0BEE1F6D"/>
    <w:rsid w:val="0C796C97"/>
    <w:rsid w:val="0FFD46A6"/>
    <w:rsid w:val="108B33AA"/>
    <w:rsid w:val="1171414D"/>
    <w:rsid w:val="12237A9A"/>
    <w:rsid w:val="158A45AE"/>
    <w:rsid w:val="15B22663"/>
    <w:rsid w:val="19280830"/>
    <w:rsid w:val="1A1D0CDD"/>
    <w:rsid w:val="1D052F46"/>
    <w:rsid w:val="20012F0D"/>
    <w:rsid w:val="20BC4426"/>
    <w:rsid w:val="238010BF"/>
    <w:rsid w:val="23A6397C"/>
    <w:rsid w:val="25386CDB"/>
    <w:rsid w:val="260E7445"/>
    <w:rsid w:val="2A211304"/>
    <w:rsid w:val="2A80031B"/>
    <w:rsid w:val="2C9B636C"/>
    <w:rsid w:val="2D3231FC"/>
    <w:rsid w:val="33BE3149"/>
    <w:rsid w:val="34C126C5"/>
    <w:rsid w:val="34C65165"/>
    <w:rsid w:val="3597461B"/>
    <w:rsid w:val="36774858"/>
    <w:rsid w:val="37AD0A1C"/>
    <w:rsid w:val="39AA123C"/>
    <w:rsid w:val="3A217E73"/>
    <w:rsid w:val="3D020DE1"/>
    <w:rsid w:val="40D81063"/>
    <w:rsid w:val="43021317"/>
    <w:rsid w:val="45744390"/>
    <w:rsid w:val="459270AF"/>
    <w:rsid w:val="472A604F"/>
    <w:rsid w:val="47DC73A2"/>
    <w:rsid w:val="4819413F"/>
    <w:rsid w:val="4A232563"/>
    <w:rsid w:val="4BD51087"/>
    <w:rsid w:val="4E39468D"/>
    <w:rsid w:val="50670AB2"/>
    <w:rsid w:val="50D1387B"/>
    <w:rsid w:val="50E44DFD"/>
    <w:rsid w:val="51347A1C"/>
    <w:rsid w:val="54B6511F"/>
    <w:rsid w:val="56B1551D"/>
    <w:rsid w:val="57CB1FD9"/>
    <w:rsid w:val="57E47D90"/>
    <w:rsid w:val="58C874C2"/>
    <w:rsid w:val="5CF90A22"/>
    <w:rsid w:val="5EB27BFA"/>
    <w:rsid w:val="61EE7E69"/>
    <w:rsid w:val="61FF5DDC"/>
    <w:rsid w:val="66A95E48"/>
    <w:rsid w:val="67EF290E"/>
    <w:rsid w:val="6987706F"/>
    <w:rsid w:val="6D535020"/>
    <w:rsid w:val="708D53C2"/>
    <w:rsid w:val="72162500"/>
    <w:rsid w:val="76654669"/>
    <w:rsid w:val="7A761FCF"/>
    <w:rsid w:val="7AF31A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widowControl w:val="0"/>
      <w:adjustRightInd/>
      <w:snapToGrid/>
      <w:spacing w:after="120"/>
      <w:jc w:val="both"/>
    </w:pPr>
    <w:rPr>
      <w:rFonts w:ascii="Times New Roman" w:hAnsi="Times New Roman" w:eastAsia="宋体" w:cs="Times New Roman"/>
      <w:kern w:val="2"/>
      <w:sz w:val="21"/>
      <w:szCs w:val="24"/>
    </w:rPr>
  </w:style>
  <w:style w:type="paragraph" w:styleId="4">
    <w:name w:val="Plain Text"/>
    <w:basedOn w:val="1"/>
    <w:qFormat/>
    <w:uiPriority w:val="0"/>
    <w:rPr>
      <w:rFonts w:ascii="宋体" w:hAnsi="Courier New" w:cs="Courier New"/>
      <w:szCs w:val="21"/>
    </w:rPr>
  </w:style>
  <w:style w:type="paragraph" w:styleId="5">
    <w:name w:val="Date"/>
    <w:basedOn w:val="1"/>
    <w:next w:val="1"/>
    <w:qFormat/>
    <w:uiPriority w:val="0"/>
    <w:pPr>
      <w:ind w:left="100" w:leftChars="2500"/>
    </w:pPr>
  </w:style>
  <w:style w:type="paragraph" w:styleId="6">
    <w:name w:val="Balloon Text"/>
    <w:basedOn w:val="1"/>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
    <w:name w:val="p0"/>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8</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2018-08-13T03:37:00Z</dcterms:created>
  <dc:creator>Administrator</dc:creator>
  <cp:lastModifiedBy>郝</cp:lastModifiedBy>
  <cp:lastPrinted>2021-12-23T02:24:08Z</cp:lastPrinted>
  <dcterms:modified xsi:type="dcterms:W3CDTF">2021-12-23T02:29:17Z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92AAE266ABDA45C78DA8041F187E3345</vt:lpwstr>
  </property>
</Properties>
</file>