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rPr>
        <w:t>昌江区人民政府办公室</w:t>
      </w:r>
    </w:p>
    <w:p>
      <w:pPr>
        <w:jc w:val="center"/>
        <w:rPr>
          <w:rFonts w:hint="eastAsia"/>
          <w:b/>
          <w:bCs/>
          <w:sz w:val="44"/>
          <w:szCs w:val="44"/>
        </w:rPr>
      </w:pPr>
      <w:r>
        <w:rPr>
          <w:rFonts w:hint="eastAsia"/>
          <w:b/>
          <w:bCs/>
          <w:sz w:val="44"/>
          <w:szCs w:val="44"/>
        </w:rPr>
        <w:t>关于印发《昌江区关于加强数字赋能优化营商环境的若干措施》的通知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870"/>
        <w:jc w:val="center"/>
        <w:rPr>
          <w:rFonts w:hint="eastAsia" w:ascii="宋体" w:hAnsi="宋体" w:eastAsia="宋体" w:cs="宋体"/>
          <w:i w:val="0"/>
          <w:iCs w:val="0"/>
          <w:caps w:val="0"/>
          <w:color w:val="555555"/>
          <w:spacing w:val="0"/>
          <w:sz w:val="43"/>
          <w:szCs w:val="4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区政府各部门,区直有关单位: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《昌江区关于加强数字赋能优化营商环境的若干措施》经区政府同意,现印发给你们,请认真贯彻落实。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righ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昌江区人民政府办公室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righ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2023年9月28日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r>
        <w:rPr>
          <w:rStyle w:val="5"/>
          <w:rFonts w:hint="eastAsia" w:ascii="宋体" w:hAnsi="宋体" w:eastAsia="宋体" w:cs="宋体"/>
          <w:i w:val="0"/>
          <w:iCs w:val="0"/>
          <w:caps w:val="0"/>
          <w:color w:val="555555"/>
          <w:spacing w:val="0"/>
          <w:sz w:val="31"/>
          <w:szCs w:val="31"/>
          <w:bdr w:val="none" w:color="auto" w:sz="0" w:space="0"/>
          <w:shd w:val="clear" w:fill="FFFFFF"/>
        </w:rPr>
        <w:t>昌江区关于加强数字赋能优化</w:t>
      </w:r>
      <w:r>
        <w:rPr>
          <w:rStyle w:val="5"/>
          <w:rFonts w:hint="default" w:ascii="Helvetica" w:hAnsi="Helvetica" w:eastAsia="Helvetica" w:cs="Helvetica"/>
          <w:i w:val="0"/>
          <w:iCs w:val="0"/>
          <w:caps w:val="0"/>
          <w:color w:val="555555"/>
          <w:spacing w:val="0"/>
          <w:sz w:val="31"/>
          <w:szCs w:val="31"/>
          <w:bdr w:val="none" w:color="auto" w:sz="0" w:space="0"/>
          <w:shd w:val="clear" w:fill="FFFFFF"/>
        </w:rPr>
        <w:t>营商环境的若干措施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为深入贯彻习近平总书记关于优化营商环境重要论述和视察江西重要讲话精神,根据《江西省人民政府办公厅印发关于加强数字赋能优化营商环境的若干措施的通知》(赣府厅〔2023〕42号)要求,落实好《关于印发景德镇市关于加强数字赋能营商环境的若干措施的通知》(景府办字〔2023〕28号)工作部署,突出以数字赋能为手段,进 一步强化数据共享应用,推动流程重塑再造、改革系统集成,助力全区营商环境优化升级,更大程度激发市场活力和社会创造力,现提出如下措施。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便利市场准入。深化应用企业名称、经营范围标准化自主申报。探索整合企业开办和银行开户备案信息,进一步便利开立银行账户。深入推进“一照通办”,推动跨部门更多行政许可事项纳入“一照通办”改革范围。探索推行食品、医疗器械经营等许可“承诺+现场视频”远程审批。推行企业变更登记全程网办,实施企业迁移“不见面办”。(牵头单位:区市监局,责任单位:昌江公安分局、区税务局、区人社局、区住建局、区医保局等区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提高人力资源信息化水平。深入推进江西省人力资源地图建设,构建互联互通的就业数字化服务平台,加强工业园区企业用工监测。推进建立“共享用工”协调机制,推行“共享员工”用工模式。大力推广电子劳动合同,推进“电子劳动合同+”应用场景建设。依托赣服通和“人才江西”网,以人才服务事项为核心,提升全区人才综合服务,实现人才服务“一网汇聚”、人才事项“一网通办”、人才奖补“ 一网兑付”。加强农民工工资支付监控预警,保障农民工合法权益。推广运用全国“互联网+调解”服务平台和省智慧仲裁信息系统,推进劳动人事争议调解仲裁“网上办”“掌上办”。(牵头单位:区人社局,责任单位:区委组织部、区法院、区教体局、区科技局、区行政服务中心、景德镇市公安局昌江分局、区卫健委、区住建局等区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推广“互联网+税务”服务。优化电子税务局功能,提高涉税事项网办率。加大“政务服务+税务区块链”推广力度,探索“税务区块链+金融”“税务区块链+财政”等多领域合作。优化电子发票服务,提供申领、开具、交付、查验电子发票24小时免费服务。配合市级打造“5E·智慧税务项目”,提升“智慧税务”能力,持续推进涉税事项同城通办。建立数字赋能优化税收营商环境监测点,提升纳税人诉求响应质效。(牵头单位:区税务局,责任单位:区行政服务中心、区财政局、区工商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四、优化智慧监管服务。加强部门执法监管系统与区“互联网+监管”平台数据共享,实现执法监管“一网统管”。运用现代信息技术,在安全生产、食品安全、医疗器械经营、交通运输、生态环境等领域实施非现场监管。加快推进跨部门、跨层级、跨领域信用信息的互通共享。统筹推进“双随机、一公开”监管与信用风险分类管理,对诚信经营者实现无事不扰。拓展“信易+”应用场景。建立事前失信警示提醒机制,为经营主体发布信用风险提示和指导,帮助经营主体防范化解失信风险。实现行政处罚信息信用修复“不见面办”。(牵头单位:区司法局,责任单位:区市监局、区直各执法、监管职能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五、提升知识产权创造保护质效。强化技术交易服务,加强技术经纪人培训,支持企业参加线上线下技术交易。加强知识产权保护,完善知识产权线上诉讼体系建设。建设景德镇市知识产权专家库和景德镇市版权数据库。加强跨部门跨区域知识产权协同保护。对侵犯知识产权违法犯罪实施全环节全要素全链条打击。(牵头单位:区市监局,责任单位:区科技局、区文旅局、区法院、区检察院、景德镇市公安局昌江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六、推动惠企政策“直达快享”。持续提升“惠企通”平台办理效能,完善企业精准“画像”、智能匹配推送、快速直达兑现等功能,为企业提供一站式惠企服务。将招商引资政策兑现纳入“惠企通”平台,推行线上不见面快速兑现。推动新设立企业数据与“惠企通”同步更新,加快推进税务、人社、国资等系统的惠企兑现数据归集,提高政策兑现覆盖面及满意度。(牵头单位:区行政服务中心,责任单位:区财政局、区商务局、区税务局、区人社局等区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七、促进在线纠纷解决。优化“智慧法院”服务,完善线上诉讼服务体系,拓展智能客服、在线鉴定、在线庭审等智慧功能。加强司法数据管理分析、裁判文书知识服务,深化智慧审判应用。推动执行案件全流程网上办理,创新智慧执行模式。(牵头单位:区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八、便利市场退出。强化破产案件一体化管理,推进网络拍卖、网络债权人会议等,加强案件分析研判,提升破产案件审判质效。探索建立破产企业财产信息一网查询机制,便利破产管理人线上查询。进一步优化简易注销流程,实现注销不见面办。(牵头单位:区法院,责任单位:市自然资源和规划局局昌江分局、区住建局、景德镇市公安局昌江分局、区税务局、区市场监管局、区人社局、区医保局等区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九、强化数字化支撑能力。积极对接融入省、市一体化政务大数据体系,按省、市统一部署实现“按需归集、应归尽归”。加强全区统一的经营主体营商环境服务的信息化管理,全面链接、整合、开放政府涉企服务资源,丰富涉企服务场景。推进电子证照、电子印章在市场监管、纳税缴费、社会保障、医疗保障、交通运输、司法等领域的应用。(牵头单位:区发改委,责任单位:区市场监管局、区税务局、区人社局、区医保局、区交通局、区法院、区检察院、景德镇市公安局昌江分局、区司法局等区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因我区职能所限,各相关部门要积极配合市级做好工程建设项目审批、公共资源交易、市政公用服务、不动产登记、金融服务等方面数据共享和推广应用工作。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各部门要切实提高政治站位,增强责任感使命感紧迫感,把加强数字赋能作为深入推进营商环境优化升级“一号改革工程”的重要抓手。各有关部门要切实担负优化营商环境的主体责任,根据细化的重点任务举措,压实工作责任,保障各项任务落地落实。区营商环境指挥部要加大统筹协调力度,确保改革措施取得更大实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zQyMDRmMmI5YmYwM2Q0NTBkNDJiNGY5ZTYzOTMifQ=="/>
  </w:docVars>
  <w:rsids>
    <w:rsidRoot w:val="25020051"/>
    <w:rsid w:val="219D5F36"/>
    <w:rsid w:val="25020051"/>
    <w:rsid w:val="25C17900"/>
    <w:rsid w:val="3109327F"/>
    <w:rsid w:val="42F37A63"/>
    <w:rsid w:val="7C9A0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11"/>
    <w:basedOn w:val="4"/>
    <w:uiPriority w:val="0"/>
    <w:rPr>
      <w:rFonts w:hint="eastAsia" w:ascii="宋体" w:hAnsi="宋体" w:eastAsia="宋体" w:cs="宋体"/>
      <w:color w:val="000000"/>
      <w:sz w:val="31"/>
      <w:szCs w:val="31"/>
      <w:u w:val="none"/>
    </w:rPr>
  </w:style>
  <w:style w:type="character" w:customStyle="1" w:styleId="7">
    <w:name w:val="font21"/>
    <w:basedOn w:val="4"/>
    <w:uiPriority w:val="0"/>
    <w:rPr>
      <w:rFonts w:ascii="Helvetica" w:hAnsi="Helvetica" w:eastAsia="Helvetica" w:cs="Helvetica"/>
      <w:color w:val="000000"/>
      <w:sz w:val="31"/>
      <w:szCs w:val="3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20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2023-12-27T01:42:00Z</dcterms:created>
  <dc:creator>情人</dc:creator>
  <cp:lastModifiedBy>情人</cp:lastModifiedBy>
  <dcterms:modified xsi:type="dcterms:W3CDTF">2023-12-27T02:18:36Z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B22EEE98342243D78E4FE85628DA4E9C_13</vt:lpwstr>
  </property>
</Properties>
</file>