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昌府办字〔2023〕49号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center"/>
        <w:rPr>
          <w:rFonts w:hint="eastAsia" w:ascii="宋体" w:hAnsi="宋体" w:eastAsia="宋体" w:cs="宋体"/>
          <w:i w:val="0"/>
          <w:iCs w:val="0"/>
          <w:caps w:val="0"/>
          <w:color w:val="555555"/>
          <w:spacing w:val="0"/>
          <w:sz w:val="43"/>
          <w:szCs w:val="43"/>
        </w:rPr>
      </w:pPr>
      <w:bookmarkStart w:id="0" w:name="_GoBack"/>
      <w:r>
        <w:rPr>
          <w:rStyle w:val="5"/>
          <w:rFonts w:hint="eastAsia" w:ascii="宋体" w:hAnsi="宋体" w:eastAsia="宋体" w:cs="宋体"/>
          <w:i w:val="0"/>
          <w:iCs w:val="0"/>
          <w:caps w:val="0"/>
          <w:color w:val="555555"/>
          <w:spacing w:val="0"/>
          <w:sz w:val="43"/>
          <w:szCs w:val="43"/>
          <w:bdr w:val="none" w:color="auto" w:sz="0" w:space="0"/>
          <w:shd w:val="clear" w:fill="FFFFFF"/>
        </w:rPr>
        <w:t>关于印发《昌江区推进养老服务提质升级三年行动方案(2023—2025年)》的通知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870"/>
        <w:jc w:val="center"/>
        <w:rPr>
          <w:rFonts w:hint="eastAsia" w:ascii="宋体" w:hAnsi="宋体" w:eastAsia="宋体" w:cs="宋体"/>
          <w:i w:val="0"/>
          <w:iCs w:val="0"/>
          <w:caps w:val="0"/>
          <w:color w:val="555555"/>
          <w:spacing w:val="0"/>
          <w:sz w:val="43"/>
          <w:szCs w:val="4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各乡(镇)人民政府、街道办事处,区政府各部门: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现将《昌江区推进养老服务提质升级三年行动方案(2023—2025年)》印发给你们,请认真抓好贯彻落实。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righ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昌江区人民政府办公室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righ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2023年11月30日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720"/>
        <w:jc w:val="center"/>
        <w:rPr>
          <w:rFonts w:hint="eastAsia" w:ascii="宋体" w:hAnsi="宋体" w:eastAsia="宋体" w:cs="宋体"/>
          <w:i w:val="0"/>
          <w:iCs w:val="0"/>
          <w:caps w:val="0"/>
          <w:color w:val="555555"/>
          <w:spacing w:val="0"/>
          <w:sz w:val="36"/>
          <w:szCs w:val="36"/>
        </w:rPr>
      </w:pPr>
      <w:r>
        <w:rPr>
          <w:rStyle w:val="5"/>
          <w:rFonts w:hint="eastAsia" w:ascii="宋体" w:hAnsi="宋体" w:eastAsia="宋体" w:cs="宋体"/>
          <w:i w:val="0"/>
          <w:iCs w:val="0"/>
          <w:caps w:val="0"/>
          <w:color w:val="555555"/>
          <w:spacing w:val="0"/>
          <w:sz w:val="36"/>
          <w:szCs w:val="36"/>
          <w:bdr w:val="none" w:color="auto" w:sz="0" w:space="0"/>
          <w:shd w:val="clear" w:fill="FFFFFF"/>
        </w:rPr>
        <w:t>昌江区推进养老服务提质升级三年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720"/>
        <w:jc w:val="center"/>
        <w:rPr>
          <w:rFonts w:hint="eastAsia" w:ascii="宋体" w:hAnsi="宋体" w:eastAsia="宋体" w:cs="宋体"/>
          <w:i w:val="0"/>
          <w:iCs w:val="0"/>
          <w:caps w:val="0"/>
          <w:color w:val="555555"/>
          <w:spacing w:val="0"/>
          <w:sz w:val="36"/>
          <w:szCs w:val="36"/>
        </w:rPr>
      </w:pPr>
      <w:r>
        <w:rPr>
          <w:rStyle w:val="5"/>
          <w:rFonts w:hint="eastAsia" w:ascii="宋体" w:hAnsi="宋体" w:eastAsia="宋体" w:cs="宋体"/>
          <w:i w:val="0"/>
          <w:iCs w:val="0"/>
          <w:caps w:val="0"/>
          <w:color w:val="555555"/>
          <w:spacing w:val="0"/>
          <w:sz w:val="36"/>
          <w:szCs w:val="36"/>
          <w:bdr w:val="none" w:color="auto" w:sz="0" w:space="0"/>
          <w:shd w:val="clear" w:fill="FFFFFF"/>
        </w:rPr>
        <w:t>行动方案(2023—2025年)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为深入贯彻落实党的二十大精神,实施积极应对人口老龄化国家战略,加快推进我区养老服务提质升级,更好满足老年人多层次、高质量养老服务需求,根据《中共中央 国务院关于加强新时代老龄工作的意见》和江西省委十五届四次全会精神及《江西省人民政府办公厅关于印发江西省推进养老服务提质升级三年行动方案(2023—2025年)的通知》(府厅字〔2023〕41号)、《景德镇市人民政府办公室关于印发景德镇市推进养老服务提质升级三年行动方案(2023—2025年)的通知》(景府办字〔2023〕35号)要求,结合我区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一、提升居家社区养老服务品质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一)增加社区养老服务设施供给。严格落实新建居住区按标准配建养老服务设施同步规划、同步建设、同步验收、同步交付工作规则,对缓建、缩建、停建、不建或建而不交的,在整改到位前不得组织竣工验收,确保配建达标率100%。结合城市居住社区建设补短板和城镇老旧小区改造等城市更新,补齐既有居住区养老服务设施短板,各级人民政府应当将具备条件的闲置办公用房、学校、培训中心、宾馆、疗养院、医院、厂房等改造建设为养老服务设施。开展城市居住区配套养老服务设施专项治理,组织摸底并建立整改台账,确保在2025年底前完成整改。政府投资建设或居住区配建的居家和社区养老服务设施可以通过公开招标等方式,无偿或以成本价委托社会力量运营,支持社区养老服务机构连锁化、品牌化发展。[责任单位:区民政局、区发改委、市自然资源和规划局昌江分局、区住建局、区财政局、区国资公司,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二)完善社区养老服务网络。构建城市15分钟“养老服务圈”,到2025年底,建成区至少建有1个建筑面积不少于1000㎡,具备照护托养、日间照料、康复护理、上门服务等综合功能的养老服务中心。根据老年人口发展趋势和分布密度,统筹建设社区嵌入式养老院,老年人口密度较高的地区,应当增加设施布点。社区日间照料中心实现全覆盖提供日间照料、助餐、文化娱乐等服务。整合社区养老服务机构中央厨房、社会餐饮企业等资源发展老年助餐服务。利用农村闲置校舍、老村部、民房等资源,因地制宜发展“党建+农村互助养老服务”,为留守等老年人提供助餐、助安、助医、助娱等服务。[责任单位:区民政局、区委组织部、区发改委、区住建局、区财政局、区农业农村水利局,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三)加强社区资源和功能整合。推动养老、文化、教育、体育、医疗卫生等公共设施场所和功能相对整合,具备条件的党群服务中心、新时代文明实践中心(所、站)、基层综合性文化服务中心等积极拓展养老服务空间,利用撤并后闲置校舍等资源建设“一老一小幸福院”,就近就便为老年人提供照料护理、学习教育、文化娱乐、体育健身、健康管理等服务。推进社区老年学校(教学点)建设,依托社区教育三级办学机构,大力开展老年教育活动。发挥基层党组织作用,支持和引导基层组织、社会组织及党员干部、社区工作者、专业社工、志愿者、热心群众、亲属邻里等开展特殊困难老年人探访关爱服务,到2025年底,月探访率达100%。[责任单位:区民政局、区委组织部、区委宣传部(区文明办)、区委政法委、区委老干部局、区教体局、区文旅局、区卫健委、区残联、区红十字会、国资公司,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四)提升居家养老服务保障水平。制定居家养老上门服务清单,明确服务内容和标准,支持养老服务机构开展家庭养老延伸服务,提供助餐、助洁、助行、助浴、助医、助娱等上门服务。到2025年底,为经济困难的失能、部分失能老年人建设家庭养老床位150张以上,对500户特殊困难老年人家庭进行居家适老化改造,引导有需要的其他老年人家庭自主开展居家适老化改造。通过政府购买服务、慈善组织公益培训、网络公开培训课程等方式,开展家庭照护者技能培训,帮助老年人家庭成员提高照护能力。[责任单位:区民政局、区财政局、区住建局、区残联、区红十字会,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二、强化公办养老机构兜底保障能力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五)科学合理布局养老机构。各乡镇(街道)要保障养老用地需求根据本地区老年人口发展趋势以及特困供养人数,准确摸清养老床位供需底数,将养老机构安排在合理区位,科学确定床位规模有效满足养老需求。编制养老服务设施专项规划,为养老服务设施建设提供规划依据及引导。[责任单位:区民政局、区发改委,市自然资源和规划局昌江分局,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六)加强失能失智照护能力建设。开展老年人能力综合评估,推动实现评估结果互认、按需使用。优先发展专业化、医养结合能力突出的养老机构。到2025年底,全区养老机构护理型床位占比达60%以上。至少建成1所设施齐全服务专业、管理规范的失能失智专业照护机构,并按标准配备养老护理员,确保有集中供养意愿的特困失能人员全部实现集中照护,有效满足其他失能失智老年人照护需求。按照国家统一部署推进长期护理保险工作。加强失智老年人社区干预、机构照料社会宣教等工作。[责任单位:区民政局、区发改委、区财政局、区卫健委、区医保局,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七)优化乡镇敬老院资源配置。实施乡镇敬老院改造提升工程,优化区域养老服务资源配置,因地制宜设置区域性中心敬老院,对床位规模小、收住人数少的乡镇敬老院,人员妥善安置到区域性中心敬老院,原有设施不得改变养老服务用途,用于居家社区养老服务和农村互助养老服务,或可通过公建民营方式交由社会力量运营。深化乡镇敬老院改革,确保有集中供养意愿的特困老年人全部实现集中供养。盘活现有床位资源,将剩余床位向社会老年人开放,到2025年底入住率达60%左右,并积极向周边老年人提供短期托养、日间照料、家庭养老床位、居家上门等养老延伸服务。[责任单位:区民政局、区发改委、区财政局、区人社局,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三、支持社会力量扩大养老服务供给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八)加快发展普惠性养老服务。落实土地、规划和报批建设、财政补贴等系列支持政策,开展普惠养老专项再贷款试点,激发社会资本参与养老服务积极性,支持符合条件的普惠养老项目申请中央预算内投资,开展普惠养老机构签约工作,推动建设一批方便可及、价格可接受、质量有保障的养老服务机构。推动普惠养老服务价格在合理区间运行,服务价格水平显著低于当地市场化养老服务机构提供的同等服务价格水平。支持国有养老服务企业建设运营普惠性养老服务机构,推动党政机关、国有企事业单位所属培训疗养机构转型为普惠养老服务设施,提升国有经济对养老服务体系的支持能力。[责任单位:区发改委、区民政局、区国资公司,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九)培育壮大养老服务市场主体。落实养老服务优惠扶持政策,着力培育养老服务龙头企业,到2025年底,力争打造2家以上规模化、品牌化、连锁化养老服务企业或机构。非营利性养老服务设施建设用地,可凭登记机关颁发的社会服务机构登记证书和其他法定材料申请划拨用地,鼓励以出让、租赁等方式供应。加大融资信贷支持,支持符合条件的养老机构申请“财园信贷通”贷款支持。对符合条件的民办养老机构按核定护理型床位给予一次性建设补助,其中新建、扩建和利用自有房产建设的床位每张补助不少于10000元,租赁房屋改建的床位每张补助不少于4000元,以实际收住中度、重度失能老年人每人每月100元、200元为基准,以养老机构等级评定结果为依据,给予相应的运营补助。通过补贴保险费等方式,支持养老机构投保综合责任险。[责任单位:区民政局、区发改委、市自然资源和规划局昌江分局、区财政局、区医保局,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四、提升养老服务专业化水平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十)深入推进医养融合发展。支持养老机构内部设置医务室、护理站等,实行备案管理。有条件的乡镇敬老院、社区嵌入式养老院等根据实际情况设置医疗机构。将符合条件的养老机构内设医疗机构纳入基本医疗保险定点管理。支持医疗机构依法依规在养老机构设立医疗服务站点,具备法人资格的医疗机构可通过变更登记事项或经营范围开展养老服务,探索医养结合服务收费标准核定。整合优化医疗卫生和养老资源,建立健全养老机构与医疗机构业务协作机制,开展签约合作,开通预约就诊、急诊急救等绿色通道。推动医疗卫生服务支持老年人医疗照护、家庭病床、居家护理、安宁疗护等服务。[责任单位:区民政局、区卫健委、区医保局,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十一)加强服务质量监督管理。开展养老机构“双随机、一公开”部门联合监督检查,公开监督检查信息。加强养老机构预付费管理,防范化解养老服务领域非法集资风险。开展建筑、消防、食品、医疗卫生、特种设备、卫生防疫等风险隐患排查整治。全面建立养老机构入院评估、服务协议、风险告知制度和纠纷协商调解机制,依法惩处欺老虐老行为。对接全市统一的养老服务信息平台,提供养老服务需求和供给对接、信息查询、政策咨询、网上办事等服务。[责任单位:区民政局、区住建局、区卫健委、昌江公安分局、区金融办、区市场监管局、区医保局,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十二)推进养老服务标准化建设。贯彻落实养老服务国家标准、行业标准和省级地方标准。按照国家等级评定标准,全面推行养老机构等级评定制度,到2025年底,全区80%以上的乡镇(街道)敬老院等级评定达到一级或二级。对民办养老机构参与等级评定获评二到五级的,分别给予相应资金奖补。[责任单位:区民政局、区财政局、区市场监管局,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五、加强养老服务要素支撑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十三)强化组织领导。健全党委领导、政府主导、部门负点工作任务跟踪调度,每年制定工作要点,定期通报工作进展情况。加强养老服务统计监测,完善相关基础数据,加强部门间涉老数据信息共享。完善养老服务工作综合考核、积极应对人口老龄化能力评价机制,将考核结果与资金分配、试点示范等挂钩。[责任单位:区直相关单位,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十四)加强资金保障。区财政部门要按照“尽力而为、量力而行”原则,根据经济发展水平、人口老龄化状况和老年人服务需求,通过一般公共预算、福彩公益金等形式逐步增加对养老服务的投入。区财政部门要足额保障公办特困人员供养服务机构运转经费。加大政府在老年人能力综合评估、探访关爱、居家养老上门服务等方面的购买服务力度。将符合条件的养老设施建设项目纳入地方政府专项债券支持范围。加强养老服务资金监管和绩效评价,保障养老服务资金安全,切实发挥资金使用效益。[责任单位:区民政局、区发改委、区财政局,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十五)落实税费优惠政策。养老机构经认定取得非营利组织免税资格的,对符合税法规定条件的收入免征企业所得税。符合条件的养老机构提供的养老服务免征增值税,属于小微企业的养老服务机构可按规定享受相应税费减免优惠。对在社区提供日间照料、康复护理等养老服务的机构按规定给予税费减免。落实养老服务机构用电、用水、用气享受居民价格政策,不得以土地房屋性质等为理由拒绝执行相关价格政策。[责任单位:区财政局、区税务局、区发改委,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十六)强化专业人才支撑。到2025年底,与昌江区高等职业学校共建养老服务从业人员实习实训基地,全区养老机构院长和养老护理员培训上岗率达100%。将养老护理员纳入本地区重点产业职业培训需求指导目录,对参加职业培训并取得职业资格证书(职业技能等级证书、专项职业能力证书、培训合格证书)的,按规定给予职业培训补贴。完善人才激励政策,对在我区养老服务机构专职从事养老护理工作连续满3年的本科及以上、专科(高职)、中职毕业生(不含事业单位在编人员)分别给予不低于3万元、2万元、1万元的一次性入职补贴。对取得初级、中级、高级、技师和高级技师职业技能等级证书的养老护理员,在养老护理岗位从事工作满2年后,分别给予不低于500、1000、2000、3000、5000元的一次性岗位补贴。每年选树宣传一批“最美养老院院长”“最美养老护理员”。[责任单位:区财政局、区人社局、区民政局、区教体局,各乡镇(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十七)发挥志愿服务组织和慈善公益力量。培育各类为老志愿服务组织和志愿者队伍,引导低龄、健康老年人等“银发资源”参与志愿服务,建立志愿服务时间储蓄和回馈制度,到2025年底,为老服务志愿组织(队伍)达50支以上,志愿者达3000人以上。创新完善“五社联动”机制,实现乡镇(街道)有社会工作服务,发挥社会工作专业优势,为老年人提供心理疏导、资源链接、能力提升、社会融入等服务。支持慈善社会组织面向养老服务机构、经济困难的老年人等打造一批养老服务帮扶项目鼓励设立养老服务专项基金。支持红十字会开展为老志愿服务养老照护、应急救护知识和技能培训等工作。[责任单位:区民政局、区文明办、区红十字会、区慈善总会,各乡镇(街道)]</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MzQyMDRmMmI5YmYwM2Q0NTBkNDJiNGY5ZTYzOTMifQ=="/>
  </w:docVars>
  <w:rsids>
    <w:rsidRoot w:val="25020051"/>
    <w:rsid w:val="0A8C26DA"/>
    <w:rsid w:val="219D5F36"/>
    <w:rsid w:val="25020051"/>
    <w:rsid w:val="25C17900"/>
    <w:rsid w:val="3FCE2739"/>
    <w:rsid w:val="42F37A63"/>
    <w:rsid w:val="563343D7"/>
    <w:rsid w:val="5DF43534"/>
    <w:rsid w:val="7C9A0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11"/>
    <w:basedOn w:val="4"/>
    <w:qFormat/>
    <w:uiPriority w:val="0"/>
    <w:rPr>
      <w:rFonts w:hint="eastAsia" w:ascii="宋体" w:hAnsi="宋体" w:eastAsia="宋体" w:cs="宋体"/>
      <w:color w:val="000000"/>
      <w:sz w:val="31"/>
      <w:szCs w:val="31"/>
      <w:u w:val="none"/>
    </w:rPr>
  </w:style>
  <w:style w:type="character" w:customStyle="1" w:styleId="7">
    <w:name w:val="font21"/>
    <w:basedOn w:val="4"/>
    <w:qFormat/>
    <w:uiPriority w:val="0"/>
    <w:rPr>
      <w:rFonts w:ascii="Helvetica" w:hAnsi="Helvetica" w:eastAsia="Helvetica" w:cs="Helvetica"/>
      <w:color w:val="000000"/>
      <w:sz w:val="31"/>
      <w:szCs w:val="3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江西省分公司</Company>
  <Pages>1</Pages>
  <Words>0</Words>
  <Characters>0</Characters>
  <Lines>0</Lines>
  <Paragraphs>0</Paragraphs>
  <TotalTime>25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2023-12-27T01:42:00Z</dcterms:created>
  <dc:creator>情人</dc:creator>
  <cp:lastModifiedBy>情人</cp:lastModifiedBy>
  <dcterms:modified xsi:type="dcterms:W3CDTF">2023-12-27T02:30:03Z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B9786B1066F94B079D32301755EEABC5_13</vt:lpwstr>
  </property>
</Properties>
</file>