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center"/>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昌禁捕办(2023)1号</w:t>
      </w:r>
    </w:p>
    <w:p>
      <w:pPr>
        <w:jc w:val="center"/>
        <w:rPr>
          <w:rFonts w:hint="eastAsia"/>
          <w:b/>
          <w:bCs/>
          <w:sz w:val="44"/>
          <w:szCs w:val="44"/>
        </w:rPr>
      </w:pPr>
      <w:bookmarkStart w:id="0" w:name="_GoBack"/>
      <w:r>
        <w:rPr>
          <w:rFonts w:hint="eastAsia"/>
          <w:b/>
          <w:bCs/>
          <w:sz w:val="44"/>
          <w:szCs w:val="44"/>
        </w:rPr>
        <w:t>关于印发</w:t>
      </w:r>
    </w:p>
    <w:p>
      <w:pPr>
        <w:jc w:val="center"/>
        <w:rPr>
          <w:rFonts w:hint="eastAsia"/>
          <w:b/>
          <w:bCs/>
          <w:sz w:val="44"/>
          <w:szCs w:val="44"/>
        </w:rPr>
      </w:pPr>
      <w:r>
        <w:rPr>
          <w:rFonts w:hint="eastAsia"/>
          <w:b/>
          <w:bCs/>
          <w:sz w:val="44"/>
          <w:szCs w:val="44"/>
        </w:rPr>
        <w:t>《昌江区退捕渔民船网回收补偿实施方案》</w:t>
      </w:r>
    </w:p>
    <w:p>
      <w:pPr>
        <w:jc w:val="center"/>
        <w:rPr>
          <w:rFonts w:hint="eastAsia"/>
          <w:b/>
          <w:bCs/>
          <w:sz w:val="44"/>
          <w:szCs w:val="44"/>
        </w:rPr>
      </w:pPr>
      <w:r>
        <w:rPr>
          <w:rFonts w:hint="eastAsia"/>
          <w:b/>
          <w:bCs/>
          <w:sz w:val="44"/>
          <w:szCs w:val="44"/>
        </w:rPr>
        <w:t>《昌江区退捕渔民养老保障实施方案》</w:t>
      </w:r>
    </w:p>
    <w:p>
      <w:pPr>
        <w:jc w:val="center"/>
        <w:rPr>
          <w:rFonts w:hint="eastAsia"/>
          <w:b/>
          <w:bCs/>
          <w:sz w:val="44"/>
          <w:szCs w:val="44"/>
        </w:rPr>
      </w:pPr>
      <w:r>
        <w:rPr>
          <w:rFonts w:hint="eastAsia"/>
          <w:b/>
          <w:bCs/>
          <w:sz w:val="44"/>
          <w:szCs w:val="44"/>
        </w:rPr>
        <w:t>《昌江区退捕渔民转产就业实施意见》</w:t>
      </w:r>
    </w:p>
    <w:p>
      <w:pPr>
        <w:jc w:val="center"/>
        <w:rPr>
          <w:rFonts w:hint="eastAsia"/>
          <w:b/>
          <w:bCs/>
          <w:sz w:val="44"/>
          <w:szCs w:val="44"/>
        </w:rPr>
      </w:pPr>
      <w:r>
        <w:rPr>
          <w:rFonts w:hint="eastAsia"/>
          <w:b/>
          <w:bCs/>
          <w:sz w:val="44"/>
          <w:szCs w:val="44"/>
        </w:rPr>
        <w:t>的通知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870"/>
        <w:jc w:val="center"/>
        <w:rPr>
          <w:rFonts w:hint="eastAsia" w:ascii="宋体" w:hAnsi="宋体" w:eastAsia="宋体" w:cs="宋体"/>
          <w:i w:val="0"/>
          <w:iCs w:val="0"/>
          <w:caps w:val="0"/>
          <w:color w:val="555555"/>
          <w:spacing w:val="0"/>
          <w:sz w:val="43"/>
          <w:szCs w:val="4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各乡(镇)人民政府、街道办事处,区政府有关部门: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《昌江区退捕渔民船网回收补偿实施方案》、《昌江区退捕渔民养老保障实施方案》 、《昌江区退捕渔民转产就业实施意见》经昌江区重点水域退捕工作领导小组开会同意现印发给你们,请认真贯彻执行。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righ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昌江区农业农村水利局(代)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righ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2023年12月6日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bdr w:val="none" w:color="auto" w:sz="0" w:space="0"/>
          <w:shd w:val="clear" w:fill="FFFFFF"/>
        </w:rPr>
      </w:pPr>
      <w:r>
        <w:rPr>
          <w:rFonts w:hint="eastAsia" w:ascii="宋体" w:hAnsi="宋体" w:eastAsia="宋体" w:cs="宋体"/>
          <w:i w:val="0"/>
          <w:iCs w:val="0"/>
          <w:caps w:val="0"/>
          <w:color w:val="555555"/>
          <w:spacing w:val="0"/>
          <w:sz w:val="31"/>
          <w:szCs w:val="31"/>
          <w:bdr w:val="none" w:color="auto" w:sz="0" w:space="0"/>
          <w:shd w:val="clear" w:fill="FFFFFF"/>
        </w:rPr>
        <w:t>(此件主动公开)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2" w:afterAutospacing="0" w:line="450" w:lineRule="atLeast"/>
        <w:ind w:left="0" w:right="0"/>
        <w:jc w:val="center"/>
        <w:rPr>
          <w:rFonts w:hint="default" w:ascii="Helvetica" w:hAnsi="Helvetica" w:eastAsia="Helvetica" w:cs="Helvetica"/>
          <w:sz w:val="36"/>
          <w:szCs w:val="36"/>
        </w:rPr>
      </w:pPr>
      <w:r>
        <w:rPr>
          <w:rStyle w:val="5"/>
          <w:rFonts w:hint="default" w:ascii="Helvetica" w:hAnsi="Helvetica" w:eastAsia="Helvetica" w:cs="Helvetica"/>
          <w:i w:val="0"/>
          <w:iCs w:val="0"/>
          <w:caps w:val="0"/>
          <w:color w:val="555555"/>
          <w:spacing w:val="0"/>
          <w:sz w:val="36"/>
          <w:szCs w:val="36"/>
          <w:bdr w:val="none" w:color="auto" w:sz="0" w:space="0"/>
          <w:shd w:val="clear" w:fill="FFFFFF"/>
        </w:rPr>
        <w:t>昌江区昌江退捕渔民船网回收补偿实施方案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420" w:lineRule="atLeast"/>
        <w:ind w:left="0" w:right="0" w:firstLine="420"/>
        <w:jc w:val="left"/>
        <w:rPr>
          <w:rFonts w:hint="eastAsia" w:ascii="宋体" w:hAnsi="宋体" w:eastAsia="宋体" w:cs="宋体"/>
          <w:sz w:val="31"/>
          <w:szCs w:val="31"/>
        </w:rPr>
      </w:pPr>
      <w:r>
        <w:rPr>
          <w:rFonts w:hint="eastAsia" w:ascii="宋体" w:hAnsi="宋体" w:eastAsia="宋体" w:cs="宋体"/>
          <w:i w:val="0"/>
          <w:iCs w:val="0"/>
          <w:caps w:val="0"/>
          <w:color w:val="555555"/>
          <w:spacing w:val="0"/>
          <w:sz w:val="31"/>
          <w:szCs w:val="31"/>
          <w:bdr w:val="none" w:color="auto" w:sz="0" w:space="0"/>
          <w:shd w:val="clear" w:fill="FFFFFF"/>
        </w:rPr>
        <w:t>根据《江西省人民政府办公厅关于印发“五河”干流禁捕退捕工作实施方案的通知》(赣府厅字〔2023〕10号)以及《景德镇市人民政府办公室关于印发饶河干流禁捕退捕工作实施方案的通知》(景府办字〔2023〕34 号)文件精神,加快推进我区饶河干流禁捕退捕工作,规范落实退捕渔民船网回收补偿,根据有关法规及政策规定,结合我区实际,特制定本实施方案。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420" w:lineRule="atLeast"/>
        <w:ind w:left="0" w:right="0" w:firstLine="420"/>
        <w:jc w:val="left"/>
        <w:rPr>
          <w:rFonts w:hint="eastAsia" w:ascii="宋体" w:hAnsi="宋体" w:eastAsia="宋体" w:cs="宋体"/>
          <w:sz w:val="31"/>
          <w:szCs w:val="31"/>
        </w:rPr>
      </w:pPr>
      <w:r>
        <w:rPr>
          <w:rFonts w:hint="eastAsia" w:ascii="宋体" w:hAnsi="宋体" w:eastAsia="宋体" w:cs="宋体"/>
          <w:i w:val="0"/>
          <w:iCs w:val="0"/>
          <w:caps w:val="0"/>
          <w:color w:val="555555"/>
          <w:spacing w:val="0"/>
          <w:sz w:val="31"/>
          <w:szCs w:val="31"/>
          <w:bdr w:val="none" w:color="auto" w:sz="0" w:space="0"/>
          <w:shd w:val="clear" w:fill="FFFFFF"/>
        </w:rPr>
        <w:t>一、回收补偿对象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420" w:lineRule="atLeast"/>
        <w:ind w:left="0" w:right="0" w:firstLine="420"/>
        <w:jc w:val="left"/>
        <w:rPr>
          <w:rFonts w:hint="eastAsia" w:ascii="宋体" w:hAnsi="宋体" w:eastAsia="宋体" w:cs="宋体"/>
          <w:sz w:val="31"/>
          <w:szCs w:val="31"/>
        </w:rPr>
      </w:pPr>
      <w:r>
        <w:rPr>
          <w:rFonts w:hint="eastAsia" w:ascii="宋体" w:hAnsi="宋体" w:eastAsia="宋体" w:cs="宋体"/>
          <w:i w:val="0"/>
          <w:iCs w:val="0"/>
          <w:caps w:val="0"/>
          <w:color w:val="555555"/>
          <w:spacing w:val="0"/>
          <w:sz w:val="31"/>
          <w:szCs w:val="31"/>
          <w:bdr w:val="none" w:color="auto" w:sz="0" w:space="0"/>
          <w:shd w:val="clear" w:fill="FFFFFF"/>
        </w:rPr>
        <w:t>持有区农业农村水利局(原区农业局)审验合格的《内陆渔业捕捞许可证》的渔民和由于历史特殊原因未持有  证件但实际常年从事捕的渔民。即建档立卡并通过村(居)、乡(镇、街道)、区三级审核盖章的渔民。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420" w:lineRule="atLeast"/>
        <w:ind w:left="0" w:right="0" w:firstLine="420"/>
        <w:jc w:val="left"/>
        <w:rPr>
          <w:rFonts w:hint="eastAsia" w:ascii="宋体" w:hAnsi="宋体" w:eastAsia="宋体" w:cs="宋体"/>
          <w:sz w:val="31"/>
          <w:szCs w:val="31"/>
        </w:rPr>
      </w:pPr>
      <w:r>
        <w:rPr>
          <w:rFonts w:hint="eastAsia" w:ascii="宋体" w:hAnsi="宋体" w:eastAsia="宋体" w:cs="宋体"/>
          <w:i w:val="0"/>
          <w:iCs w:val="0"/>
          <w:caps w:val="0"/>
          <w:color w:val="555555"/>
          <w:spacing w:val="0"/>
          <w:sz w:val="31"/>
          <w:szCs w:val="31"/>
          <w:bdr w:val="none" w:color="auto" w:sz="0" w:space="0"/>
          <w:shd w:val="clear" w:fill="FFFFFF"/>
        </w:rPr>
        <w:t>二、船网工具补偿及标准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420" w:lineRule="atLeast"/>
        <w:ind w:left="0" w:right="0" w:firstLine="420"/>
        <w:jc w:val="left"/>
        <w:rPr>
          <w:rFonts w:hint="eastAsia" w:ascii="宋体" w:hAnsi="宋体" w:eastAsia="宋体" w:cs="宋体"/>
          <w:sz w:val="31"/>
          <w:szCs w:val="31"/>
        </w:rPr>
      </w:pPr>
      <w:r>
        <w:rPr>
          <w:rFonts w:hint="eastAsia" w:ascii="宋体" w:hAnsi="宋体" w:eastAsia="宋体" w:cs="宋体"/>
          <w:i w:val="0"/>
          <w:iCs w:val="0"/>
          <w:caps w:val="0"/>
          <w:color w:val="555555"/>
          <w:spacing w:val="0"/>
          <w:sz w:val="31"/>
          <w:szCs w:val="31"/>
          <w:bdr w:val="none" w:color="auto" w:sz="0" w:space="0"/>
          <w:shd w:val="clear" w:fill="FFFFFF"/>
        </w:rPr>
        <w:t>1.根据渔船的大小、功率、材质系数、船龄系数,补偿要求如下: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420" w:lineRule="atLeast"/>
        <w:ind w:left="0" w:right="0" w:firstLine="420"/>
        <w:jc w:val="left"/>
        <w:rPr>
          <w:rFonts w:hint="eastAsia" w:ascii="宋体" w:hAnsi="宋体" w:eastAsia="宋体" w:cs="宋体"/>
          <w:sz w:val="31"/>
          <w:szCs w:val="31"/>
        </w:rPr>
      </w:pPr>
      <w:r>
        <w:rPr>
          <w:rFonts w:hint="eastAsia" w:ascii="宋体" w:hAnsi="宋体" w:eastAsia="宋体" w:cs="宋体"/>
          <w:i w:val="0"/>
          <w:iCs w:val="0"/>
          <w:caps w:val="0"/>
          <w:color w:val="555555"/>
          <w:spacing w:val="0"/>
          <w:sz w:val="31"/>
          <w:szCs w:val="31"/>
          <w:bdr w:val="none" w:color="auto" w:sz="0" w:space="0"/>
          <w:shd w:val="clear" w:fill="FFFFFF"/>
        </w:rPr>
        <w:t>凡在昌江及支流水域内捕捞作业并经建档立卡调查确认的渔船(含钢制、铁质和木质等),以及随船使用的捕捞网具均属于回收范围。电捕鱼网、定置网、大型底拖网、吊杆扒螺、机械吸螺等非法网具不属于回收范围。其他渔民的船网具按照属地管理原则由乡镇(街道)人民政府(办事处)处理。农用船以及其他工作用船只,按照属地管理原则由乡镇(街道)人民政府(办事处)做好备案登记和日常管理,不得放置捕捞渔具,从事捕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420" w:lineRule="atLeast"/>
        <w:ind w:left="0" w:right="0" w:firstLine="420"/>
        <w:jc w:val="left"/>
        <w:rPr>
          <w:rFonts w:hint="eastAsia" w:ascii="宋体" w:hAnsi="宋体" w:eastAsia="宋体" w:cs="宋体"/>
          <w:sz w:val="31"/>
          <w:szCs w:val="31"/>
        </w:rPr>
      </w:pPr>
      <w:r>
        <w:rPr>
          <w:rFonts w:hint="eastAsia" w:ascii="宋体" w:hAnsi="宋体" w:eastAsia="宋体" w:cs="宋体"/>
          <w:i w:val="0"/>
          <w:iCs w:val="0"/>
          <w:caps w:val="0"/>
          <w:color w:val="555555"/>
          <w:spacing w:val="0"/>
          <w:sz w:val="31"/>
          <w:szCs w:val="31"/>
          <w:bdr w:val="none" w:color="auto" w:sz="0" w:space="0"/>
          <w:shd w:val="clear" w:fill="FFFFFF"/>
        </w:rPr>
        <w:t>2.实施原则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420" w:lineRule="atLeast"/>
        <w:ind w:left="0" w:right="0" w:firstLine="420"/>
        <w:jc w:val="left"/>
        <w:rPr>
          <w:rFonts w:hint="eastAsia" w:ascii="宋体" w:hAnsi="宋体" w:eastAsia="宋体" w:cs="宋体"/>
          <w:sz w:val="31"/>
          <w:szCs w:val="31"/>
        </w:rPr>
      </w:pPr>
      <w:r>
        <w:rPr>
          <w:rFonts w:hint="eastAsia" w:ascii="宋体" w:hAnsi="宋体" w:eastAsia="宋体" w:cs="宋体"/>
          <w:i w:val="0"/>
          <w:iCs w:val="0"/>
          <w:caps w:val="0"/>
          <w:color w:val="555555"/>
          <w:spacing w:val="0"/>
          <w:sz w:val="31"/>
          <w:szCs w:val="31"/>
          <w:bdr w:val="none" w:color="auto" w:sz="0" w:space="0"/>
          <w:shd w:val="clear" w:fill="FFFFFF"/>
        </w:rPr>
        <w:t>自愿申请。凡符合条件的退捕渔民,均以建档立卡渔户为单位自愿申请船网工具回收。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420" w:lineRule="atLeast"/>
        <w:ind w:left="0" w:right="0" w:firstLine="420"/>
        <w:jc w:val="left"/>
        <w:rPr>
          <w:rFonts w:hint="eastAsia" w:ascii="宋体" w:hAnsi="宋体" w:eastAsia="宋体" w:cs="宋体"/>
          <w:sz w:val="31"/>
          <w:szCs w:val="31"/>
        </w:rPr>
      </w:pPr>
      <w:r>
        <w:rPr>
          <w:rFonts w:hint="eastAsia" w:ascii="宋体" w:hAnsi="宋体" w:eastAsia="宋体" w:cs="宋体"/>
          <w:i w:val="0"/>
          <w:iCs w:val="0"/>
          <w:caps w:val="0"/>
          <w:color w:val="555555"/>
          <w:spacing w:val="0"/>
          <w:sz w:val="31"/>
          <w:szCs w:val="31"/>
          <w:bdr w:val="none" w:color="auto" w:sz="0" w:space="0"/>
          <w:shd w:val="clear" w:fill="FFFFFF"/>
        </w:rPr>
        <w:t>合理折旧。船网工具的回收实行折旧计价估值。钢质 渔船折旧按经济寿命20年计算;木质渔船折旧按经济寿命15 年计算。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420" w:lineRule="atLeast"/>
        <w:ind w:left="0" w:right="0" w:firstLine="420"/>
        <w:jc w:val="left"/>
        <w:rPr>
          <w:rFonts w:hint="eastAsia" w:ascii="宋体" w:hAnsi="宋体" w:eastAsia="宋体" w:cs="宋体"/>
          <w:sz w:val="31"/>
          <w:szCs w:val="31"/>
        </w:rPr>
      </w:pPr>
      <w:r>
        <w:rPr>
          <w:rFonts w:hint="eastAsia" w:ascii="宋体" w:hAnsi="宋体" w:eastAsia="宋体" w:cs="宋体"/>
          <w:i w:val="0"/>
          <w:iCs w:val="0"/>
          <w:caps w:val="0"/>
          <w:color w:val="555555"/>
          <w:spacing w:val="0"/>
          <w:sz w:val="31"/>
          <w:szCs w:val="31"/>
          <w:bdr w:val="none" w:color="auto" w:sz="0" w:space="0"/>
          <w:shd w:val="clear" w:fill="FFFFFF"/>
        </w:rPr>
        <w:t>限价估值。渔船按功能分生产船和辅助船。生产船船 长范围限 4-12 米,辅助船船长范围限 3-5 米,超出船 长限制范围的,原则上按最高和最低船长限制标准处理。渔船按船体材质、船长和造价(含动力设备),分档折旧计价估值,并设置最高和最低限价。能提供渔船建造投入使用时间有效证明资料(含渔业船舶检验证书、渔业船舶登记证书、建造单位开具的正式发票或船龄相关佐证材料等)的,按实际使用年限折旧估值;不能提供的,按最低限价估值;使用年限不足整数的, 按整数就高计算。网具按重量折旧计价估值,并设置最高限价。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420" w:lineRule="atLeast"/>
        <w:ind w:left="0" w:right="0" w:firstLine="420"/>
        <w:jc w:val="left"/>
        <w:rPr>
          <w:rFonts w:hint="eastAsia" w:ascii="宋体" w:hAnsi="宋体" w:eastAsia="宋体" w:cs="宋体"/>
          <w:sz w:val="31"/>
          <w:szCs w:val="31"/>
        </w:rPr>
      </w:pPr>
      <w:r>
        <w:rPr>
          <w:rFonts w:hint="eastAsia" w:ascii="宋体" w:hAnsi="宋体" w:eastAsia="宋体" w:cs="宋体"/>
          <w:i w:val="0"/>
          <w:iCs w:val="0"/>
          <w:caps w:val="0"/>
          <w:color w:val="555555"/>
          <w:spacing w:val="0"/>
          <w:sz w:val="31"/>
          <w:szCs w:val="31"/>
          <w:bdr w:val="none" w:color="auto" w:sz="0" w:space="0"/>
          <w:shd w:val="clear" w:fill="FFFFFF"/>
        </w:rPr>
        <w:t>公开透明。船网工具的回收处置须在《退捕渔民建档立卡调查确认表》的基础上开展,并公开操作流程和估值标准。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420" w:lineRule="atLeast"/>
        <w:ind w:left="0" w:right="0" w:firstLine="420"/>
        <w:jc w:val="left"/>
        <w:rPr>
          <w:rFonts w:hint="eastAsia" w:ascii="宋体" w:hAnsi="宋体" w:eastAsia="宋体" w:cs="宋体"/>
          <w:sz w:val="31"/>
          <w:szCs w:val="31"/>
        </w:rPr>
      </w:pPr>
      <w:r>
        <w:rPr>
          <w:rFonts w:hint="eastAsia" w:ascii="宋体" w:hAnsi="宋体" w:eastAsia="宋体" w:cs="宋体"/>
          <w:i w:val="0"/>
          <w:iCs w:val="0"/>
          <w:caps w:val="0"/>
          <w:color w:val="555555"/>
          <w:spacing w:val="0"/>
          <w:sz w:val="31"/>
          <w:szCs w:val="31"/>
          <w:bdr w:val="none" w:color="auto" w:sz="0" w:space="0"/>
          <w:shd w:val="clear" w:fill="FFFFFF"/>
        </w:rPr>
        <w:t>3.实施步骤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420" w:lineRule="atLeast"/>
        <w:ind w:left="0" w:right="0" w:firstLine="420"/>
        <w:jc w:val="left"/>
        <w:rPr>
          <w:rFonts w:hint="eastAsia" w:ascii="宋体" w:hAnsi="宋体" w:eastAsia="宋体" w:cs="宋体"/>
          <w:sz w:val="31"/>
          <w:szCs w:val="31"/>
        </w:rPr>
      </w:pPr>
      <w:r>
        <w:rPr>
          <w:rFonts w:hint="eastAsia" w:ascii="宋体" w:hAnsi="宋体" w:eastAsia="宋体" w:cs="宋体"/>
          <w:i w:val="0"/>
          <w:iCs w:val="0"/>
          <w:caps w:val="0"/>
          <w:color w:val="555555"/>
          <w:spacing w:val="0"/>
          <w:sz w:val="31"/>
          <w:szCs w:val="31"/>
          <w:bdr w:val="none" w:color="auto" w:sz="0" w:space="0"/>
          <w:shd w:val="clear" w:fill="FFFFFF"/>
        </w:rPr>
        <w:t>提交申请。凡自愿申请要求船网工具回收的渔民须填写《昌江区退捕渔民船网工具回收申请及估值核定表》(见附件2,以下简称《申请表》)。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420" w:lineRule="atLeast"/>
        <w:ind w:left="0" w:right="0" w:firstLine="420"/>
        <w:jc w:val="left"/>
        <w:rPr>
          <w:rFonts w:hint="eastAsia" w:ascii="宋体" w:hAnsi="宋体" w:eastAsia="宋体" w:cs="宋体"/>
          <w:sz w:val="31"/>
          <w:szCs w:val="31"/>
        </w:rPr>
      </w:pPr>
      <w:r>
        <w:rPr>
          <w:rFonts w:hint="eastAsia" w:ascii="宋体" w:hAnsi="宋体" w:eastAsia="宋体" w:cs="宋体"/>
          <w:i w:val="0"/>
          <w:iCs w:val="0"/>
          <w:caps w:val="0"/>
          <w:color w:val="555555"/>
          <w:spacing w:val="0"/>
          <w:sz w:val="31"/>
          <w:szCs w:val="31"/>
          <w:bdr w:val="none" w:color="auto" w:sz="0" w:space="0"/>
          <w:shd w:val="clear" w:fill="FFFFFF"/>
        </w:rPr>
        <w:t>查验核实。渔民户籍所在地村(居)、乡(镇、街道)组织对《申请表》填报信息进行查验核实,对船网工具进行现场编号拍照,收集渔船权属来源及船龄证明材料,建立“一船一档” ;乡(镇、街道)对回收船网工具做好标记,定点集中存放。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420" w:lineRule="atLeast"/>
        <w:ind w:left="0" w:right="0" w:firstLine="420"/>
        <w:jc w:val="left"/>
        <w:rPr>
          <w:rFonts w:hint="eastAsia" w:ascii="宋体" w:hAnsi="宋体" w:eastAsia="宋体" w:cs="宋体"/>
          <w:sz w:val="31"/>
          <w:szCs w:val="31"/>
        </w:rPr>
      </w:pPr>
      <w:r>
        <w:rPr>
          <w:rFonts w:hint="eastAsia" w:ascii="宋体" w:hAnsi="宋体" w:eastAsia="宋体" w:cs="宋体"/>
          <w:i w:val="0"/>
          <w:iCs w:val="0"/>
          <w:caps w:val="0"/>
          <w:color w:val="555555"/>
          <w:spacing w:val="0"/>
          <w:sz w:val="31"/>
          <w:szCs w:val="31"/>
          <w:bdr w:val="none" w:color="auto" w:sz="0" w:space="0"/>
          <w:shd w:val="clear" w:fill="FFFFFF"/>
        </w:rPr>
        <w:t>资产评估。 区禁捕办(区农业农村水利局)聘请专业 第三方对《申请表》填报内容进行现场核验,对船网工具 进行测量称重、核定估值,确保登入《申请表》 的数据详 实。并出具全区退捕渔民船网资产评估报告。船网工具所有人签字确认的船网工具各项数据及回收估值情况,经村(居)委员会组织集中张榜公示,公示无异议后由乡镇复核确认,报县级禁捕退捕工作领导小组审定。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420" w:lineRule="atLeast"/>
        <w:ind w:left="0" w:right="0" w:firstLine="420"/>
        <w:jc w:val="left"/>
        <w:rPr>
          <w:rFonts w:hint="eastAsia" w:ascii="宋体" w:hAnsi="宋体" w:eastAsia="宋体" w:cs="宋体"/>
          <w:sz w:val="31"/>
          <w:szCs w:val="31"/>
        </w:rPr>
      </w:pPr>
      <w:r>
        <w:rPr>
          <w:rFonts w:hint="eastAsia" w:ascii="宋体" w:hAnsi="宋体" w:eastAsia="宋体" w:cs="宋体"/>
          <w:i w:val="0"/>
          <w:iCs w:val="0"/>
          <w:caps w:val="0"/>
          <w:color w:val="555555"/>
          <w:spacing w:val="0"/>
          <w:sz w:val="31"/>
          <w:szCs w:val="31"/>
          <w:bdr w:val="none" w:color="auto" w:sz="0" w:space="0"/>
          <w:shd w:val="clear" w:fill="FFFFFF"/>
        </w:rPr>
        <w:t>结算补偿。经公示、复核、审定后,由区财政部门统</w:t>
      </w:r>
      <w:r>
        <w:rPr>
          <w:rFonts w:hint="default" w:ascii="Helvetica" w:hAnsi="Helvetica" w:eastAsia="Helvetica" w:cs="Helvetica"/>
          <w:i w:val="0"/>
          <w:iCs w:val="0"/>
          <w:caps w:val="0"/>
          <w:color w:val="555555"/>
          <w:spacing w:val="0"/>
          <w:sz w:val="31"/>
          <w:szCs w:val="31"/>
          <w:bdr w:val="none" w:color="auto" w:sz="0" w:space="0"/>
          <w:shd w:val="clear" w:fill="FFFFFF"/>
        </w:rPr>
        <w:t>一及时发放回收补偿款项。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420" w:lineRule="atLeast"/>
        <w:ind w:left="0" w:right="0" w:firstLine="420"/>
        <w:jc w:val="left"/>
        <w:rPr>
          <w:rFonts w:hint="eastAsia" w:ascii="宋体" w:hAnsi="宋体" w:eastAsia="宋体" w:cs="宋体"/>
          <w:sz w:val="31"/>
          <w:szCs w:val="31"/>
        </w:rPr>
      </w:pPr>
      <w:r>
        <w:rPr>
          <w:rFonts w:hint="eastAsia" w:ascii="宋体" w:hAnsi="宋体" w:eastAsia="宋体" w:cs="宋体"/>
          <w:i w:val="0"/>
          <w:iCs w:val="0"/>
          <w:caps w:val="0"/>
          <w:color w:val="555555"/>
          <w:spacing w:val="0"/>
          <w:sz w:val="31"/>
          <w:szCs w:val="31"/>
          <w:bdr w:val="none" w:color="auto" w:sz="0" w:space="0"/>
          <w:shd w:val="clear" w:fill="FFFFFF"/>
        </w:rPr>
        <w:t>回收处置。所有回收的渔船渔具,由乡(镇、街道)统一组织拆解回收处置,现场拍照存档。处置收益归乡 (镇、街道)所有,用于禁捕退捕工作。确需留存的渔船要集中封存保管登记,签订保管协议,落实管护责任单位和责任人。相关资料报区禁捕办存档。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420" w:lineRule="atLeast"/>
        <w:ind w:left="0" w:right="0" w:firstLine="420"/>
        <w:jc w:val="left"/>
        <w:rPr>
          <w:rFonts w:hint="eastAsia" w:ascii="宋体" w:hAnsi="宋体" w:eastAsia="宋体" w:cs="宋体"/>
          <w:sz w:val="31"/>
          <w:szCs w:val="31"/>
        </w:rPr>
      </w:pPr>
      <w:r>
        <w:rPr>
          <w:rFonts w:hint="eastAsia" w:ascii="宋体" w:hAnsi="宋体" w:eastAsia="宋体" w:cs="宋体"/>
          <w:i w:val="0"/>
          <w:iCs w:val="0"/>
          <w:caps w:val="0"/>
          <w:color w:val="555555"/>
          <w:spacing w:val="0"/>
          <w:sz w:val="31"/>
          <w:szCs w:val="31"/>
          <w:bdr w:val="none" w:color="auto" w:sz="0" w:space="0"/>
          <w:shd w:val="clear" w:fill="FFFFFF"/>
        </w:rPr>
        <w:t>4.估值标准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420" w:lineRule="atLeast"/>
        <w:ind w:left="0" w:right="0" w:firstLine="420"/>
        <w:jc w:val="left"/>
        <w:rPr>
          <w:rFonts w:hint="eastAsia" w:ascii="宋体" w:hAnsi="宋体" w:eastAsia="宋体" w:cs="宋体"/>
          <w:sz w:val="31"/>
          <w:szCs w:val="31"/>
        </w:rPr>
      </w:pPr>
      <w:r>
        <w:rPr>
          <w:rFonts w:hint="eastAsia" w:ascii="宋体" w:hAnsi="宋体" w:eastAsia="宋体" w:cs="宋体"/>
          <w:i w:val="0"/>
          <w:iCs w:val="0"/>
          <w:caps w:val="0"/>
          <w:color w:val="555555"/>
          <w:spacing w:val="0"/>
          <w:sz w:val="31"/>
          <w:szCs w:val="31"/>
          <w:bdr w:val="none" w:color="auto" w:sz="0" w:space="0"/>
          <w:shd w:val="clear" w:fill="FFFFFF"/>
        </w:rPr>
        <w:t>按经济寿命折算,钢质渔船年折旧率为 5%,木质渔船年折旧率为 6.7%。最高限价按造价 80%实行;最低限价按造价 30%实行。限价内按船龄档次(两年至六年为一档)就高折旧计价估值。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420" w:lineRule="atLeast"/>
        <w:ind w:left="0" w:right="0" w:firstLine="420"/>
        <w:jc w:val="left"/>
        <w:rPr>
          <w:rFonts w:hint="eastAsia" w:ascii="宋体" w:hAnsi="宋体" w:eastAsia="宋体" w:cs="宋体"/>
          <w:sz w:val="31"/>
          <w:szCs w:val="31"/>
        </w:rPr>
      </w:pPr>
      <w:r>
        <w:rPr>
          <w:rFonts w:hint="eastAsia" w:ascii="宋体" w:hAnsi="宋体" w:eastAsia="宋体" w:cs="宋体"/>
          <w:i w:val="0"/>
          <w:iCs w:val="0"/>
          <w:caps w:val="0"/>
          <w:color w:val="555555"/>
          <w:spacing w:val="0"/>
          <w:sz w:val="31"/>
          <w:szCs w:val="31"/>
          <w:bdr w:val="none" w:color="auto" w:sz="0" w:space="0"/>
          <w:shd w:val="clear" w:fill="FFFFFF"/>
        </w:rPr>
        <w:t>拥有2艘渔船的,一艘按生产船计价估值,一艘按辅助船计价估值;拥有2艘以上渔船的,除一艘按生产船计价估值外,其余按辅助船计价估值;实际估值高于最高限价的,按最高限价折算;实际估值低于最低限价的,按最低限价折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网具分网类(禁止使用的网具除外)、钩类和虾笼,按市场销售价的 70%折价估值。每户网具估值回收最高限价八千元。所有回收的渔船限于船长大于等于3米。回收的渔船主体原则上为铁质、钢制(包括不锈钢、玻璃钢)、木质的渔船,船主体为塑料的渔船按对应的木质渔船估值的70%进行回收,其他材质的渔船一律不予回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船网回收估值标准按附件1参照执行。回收的渔船要求完整,含动力设备(发动机和挂桨)和系泊设备,缺少动力等设备的按对于渔船估值的50%进行回收。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5.船网回收要求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强化组织领导。区禁捕办将组成回收工作小组,全面负责全县船网工具回收的估价评估、拆解销毁、组织验收、档案管理等工作。乡(镇、街道)切实配合开展回收工作,保障回收工作顺利和稳定。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规范操作流程。船主申请(填写《船网工具回收申请 及估值核定表》 ) →船网工具运至指定集中回收点→现场评估(船主等各方签字确认) →船网工具现场编号拍照(编号“ 昌退(*)XX 号 ”,拍照为评估工作人员、船主与船网工具同框) →拆解销毁并拍照(拍照要求 3 张,拆解前、拆解中、即将拆解完) → 兑现补偿经费 →验收存档。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健全资料档案。以户为单位,按“一证(户)一档”建档,在原退捕渔民建档立卡的基础上,增加《船网工具回收申请及估值核定表》、《昌江区禁捕退捕补偿协议书》照片4张。</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5MzQyMDRmMmI5YmYwM2Q0NTBkNDJiNGY5ZTYzOTMifQ=="/>
  </w:docVars>
  <w:rsids>
    <w:rsidRoot w:val="25020051"/>
    <w:rsid w:val="0A8C26DA"/>
    <w:rsid w:val="1D201555"/>
    <w:rsid w:val="219D5F36"/>
    <w:rsid w:val="25020051"/>
    <w:rsid w:val="25C17900"/>
    <w:rsid w:val="3FCE2739"/>
    <w:rsid w:val="42F37A63"/>
    <w:rsid w:val="563343D7"/>
    <w:rsid w:val="5DF43534"/>
    <w:rsid w:val="7C9A0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customStyle="1" w:styleId="6">
    <w:name w:val="font11"/>
    <w:basedOn w:val="4"/>
    <w:qFormat/>
    <w:uiPriority w:val="0"/>
    <w:rPr>
      <w:rFonts w:hint="eastAsia" w:ascii="宋体" w:hAnsi="宋体" w:eastAsia="宋体" w:cs="宋体"/>
      <w:color w:val="000000"/>
      <w:sz w:val="31"/>
      <w:szCs w:val="31"/>
      <w:u w:val="none"/>
    </w:rPr>
  </w:style>
  <w:style w:type="character" w:customStyle="1" w:styleId="7">
    <w:name w:val="font21"/>
    <w:basedOn w:val="4"/>
    <w:qFormat/>
    <w:uiPriority w:val="0"/>
    <w:rPr>
      <w:rFonts w:ascii="Helvetica" w:hAnsi="Helvetica" w:eastAsia="Helvetica" w:cs="Helvetica"/>
      <w:color w:val="000000"/>
      <w:sz w:val="31"/>
      <w:szCs w:val="3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江西省分公司</Company>
  <Pages>1</Pages>
  <Words>0</Words>
  <Characters>0</Characters>
  <Lines>0</Lines>
  <Paragraphs>0</Paragraphs>
  <TotalTime>26</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2023-12-27T01:42:00Z</dcterms:created>
  <dc:creator>情人</dc:creator>
  <cp:lastModifiedBy>情人</cp:lastModifiedBy>
  <dcterms:modified xsi:type="dcterms:W3CDTF">2023-12-27T02:32:10Z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EECFEC5A26B84F93B2A74195118190FA_13</vt:lpwstr>
  </property>
</Properties>
</file>