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02558">
      <w:pPr>
        <w:spacing w:line="240" w:lineRule="auto"/>
        <w:rPr>
          <w:rFonts w:ascii="仿宋" w:hAnsi="仿宋" w:eastAsia="仿宋_GB2312" w:cs="仿宋_GB2312"/>
          <w:color w:val="000000"/>
          <w:sz w:val="32"/>
          <w:szCs w:val="32"/>
        </w:rPr>
      </w:pPr>
      <w:bookmarkStart w:id="2" w:name="_GoBack"/>
    </w:p>
    <w:p w14:paraId="02FCD0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bookmarkStart w:id="0" w:name="OLE_LINK1"/>
      <w:bookmarkStart w:id="1" w:name="OLE_LINK3"/>
      <w:r>
        <w:rPr>
          <w:rFonts w:hint="eastAsia" w:ascii="方正小标宋简体" w:hAnsi="方正小标宋简体" w:eastAsia="方正小标宋简体" w:cs="方正小标宋简体"/>
          <w:b w:val="0"/>
          <w:bCs/>
          <w:sz w:val="44"/>
          <w:szCs w:val="44"/>
          <w:lang w:val="en-US" w:eastAsia="zh-CN"/>
        </w:rPr>
        <w:t>关于印发《</w:t>
      </w:r>
      <w:r>
        <w:rPr>
          <w:rFonts w:hint="eastAsia" w:ascii="方正小标宋简体" w:hAnsi="方正小标宋简体" w:eastAsia="方正小标宋简体" w:cs="方正小标宋简体"/>
          <w:b w:val="0"/>
          <w:bCs/>
          <w:sz w:val="44"/>
          <w:szCs w:val="44"/>
        </w:rPr>
        <w:t>关于推动“引客入昌江”的旅游</w:t>
      </w:r>
    </w:p>
    <w:p w14:paraId="51AE468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sz w:val="44"/>
          <w:szCs w:val="44"/>
        </w:rPr>
        <w:t>发展奖励办法</w:t>
      </w:r>
      <w:r>
        <w:rPr>
          <w:rFonts w:hint="eastAsia" w:ascii="方正小标宋简体" w:hAnsi="方正小标宋简体" w:eastAsia="方正小标宋简体" w:cs="方正小标宋简体"/>
          <w:b w:val="0"/>
          <w:bCs/>
          <w:sz w:val="44"/>
          <w:szCs w:val="44"/>
          <w:lang w:val="en-US" w:eastAsia="zh-CN"/>
        </w:rPr>
        <w:t>》的通知</w:t>
      </w:r>
      <w:bookmarkEnd w:id="0"/>
    </w:p>
    <w:bookmarkEnd w:id="2"/>
    <w:p w14:paraId="77B9748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14:paraId="02AEF282">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各乡（镇）人民政府、街道办事处，区政府各部门，区直各单位：</w:t>
      </w:r>
    </w:p>
    <w:p w14:paraId="1A09235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现将《关于推动“引客入昌江”的旅游发展奖励办法》印发给你们，请认真贯彻落实。</w:t>
      </w:r>
    </w:p>
    <w:p w14:paraId="7807CB7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p>
    <w:p w14:paraId="76C2006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p>
    <w:p w14:paraId="65DF858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昌江区人民政府办公室</w:t>
      </w:r>
    </w:p>
    <w:p w14:paraId="4C07912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2024年5月15日</w:t>
      </w:r>
    </w:p>
    <w:p w14:paraId="33E1E213">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05DF38D4">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46B61DAC">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39CBCD3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3FDB2530">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12E82E0D">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3C1E06A5">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5B8A9779">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217DF65B">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6D054518">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rPr>
      </w:pPr>
    </w:p>
    <w:p w14:paraId="5243D9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关于推动“引客入昌江”的旅游</w:t>
      </w:r>
    </w:p>
    <w:p w14:paraId="35C17011">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sz w:val="32"/>
          <w:szCs w:val="32"/>
        </w:rPr>
      </w:pPr>
      <w:r>
        <w:rPr>
          <w:rFonts w:hint="eastAsia" w:ascii="方正小标宋简体" w:hAnsi="方正小标宋简体" w:eastAsia="方正小标宋简体" w:cs="方正小标宋简体"/>
          <w:b w:val="0"/>
          <w:bCs/>
          <w:sz w:val="44"/>
          <w:szCs w:val="44"/>
        </w:rPr>
        <w:t>发展奖励办法</w:t>
      </w:r>
    </w:p>
    <w:p w14:paraId="6A0FBC7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p>
    <w:p w14:paraId="60B37C9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昌江区作为国家全域旅游示范区，在疫情逐步恢复的契机下，为落实好省政府办公厅《关于进一步帮扶文旅企业纾困发展若干措施的通知》文件精神，大力繁荣和拉动区内的文旅消费。我区全域旅游集散中心已于2022年5月19日正式运营，在结合市、区两级制定的《关于促进旅游产业高质量发展的意见（试行）》文件基础上，为加大“引客入赣”、“引客入昌江”的力度，促进各大旅行商及涉旅企业积极推介并组织游客来昌江区旅游，提振我区文旅消费，特拟定以下旅游奖励办法：</w:t>
      </w:r>
    </w:p>
    <w:p w14:paraId="7D16B76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一、政策有效时段：</w:t>
      </w:r>
      <w:r>
        <w:rPr>
          <w:rFonts w:hint="eastAsia" w:ascii="仿宋" w:hAnsi="仿宋" w:eastAsia="仿宋" w:cs="仿宋"/>
          <w:sz w:val="32"/>
          <w:szCs w:val="32"/>
        </w:rPr>
        <w:t>2024年度、2025年度</w:t>
      </w:r>
    </w:p>
    <w:p w14:paraId="09A210C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黑体" w:hAnsi="黑体" w:eastAsia="黑体" w:cs="黑体"/>
          <w:sz w:val="32"/>
          <w:szCs w:val="32"/>
        </w:rPr>
        <w:t>二、奖励对象：</w:t>
      </w:r>
      <w:r>
        <w:rPr>
          <w:rFonts w:hint="eastAsia" w:ascii="仿宋" w:hAnsi="仿宋" w:eastAsia="仿宋" w:cs="仿宋"/>
          <w:sz w:val="32"/>
          <w:szCs w:val="32"/>
        </w:rPr>
        <w:t>在昌江区注册的旅行社及省内外以昌江区旅游为目的地的合法经营旅行商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鼓励各</w:t>
      </w:r>
      <w:r>
        <w:rPr>
          <w:rFonts w:hint="eastAsia" w:ascii="仿宋" w:hAnsi="仿宋" w:eastAsia="仿宋" w:cs="仿宋"/>
          <w:sz w:val="32"/>
          <w:szCs w:val="32"/>
        </w:rPr>
        <w:t>旅行商</w:t>
      </w:r>
      <w:r>
        <w:rPr>
          <w:rFonts w:hint="eastAsia" w:ascii="仿宋" w:hAnsi="仿宋" w:eastAsia="仿宋" w:cs="仿宋"/>
          <w:sz w:val="32"/>
          <w:szCs w:val="32"/>
          <w:lang w:val="en-US" w:eastAsia="zh-CN"/>
        </w:rPr>
        <w:t>成立</w:t>
      </w:r>
      <w:r>
        <w:rPr>
          <w:rFonts w:hint="eastAsia" w:ascii="仿宋" w:hAnsi="仿宋" w:eastAsia="仿宋" w:cs="仿宋"/>
          <w:sz w:val="32"/>
          <w:szCs w:val="32"/>
          <w:highlight w:val="none"/>
          <w:lang w:val="en-US" w:eastAsia="zh-CN"/>
        </w:rPr>
        <w:t>联盟体</w:t>
      </w:r>
      <w:r>
        <w:rPr>
          <w:rFonts w:hint="eastAsia" w:ascii="仿宋" w:hAnsi="仿宋" w:eastAsia="仿宋" w:cs="仿宋"/>
          <w:sz w:val="32"/>
          <w:szCs w:val="32"/>
          <w:lang w:eastAsia="zh-CN"/>
        </w:rPr>
        <w:t>）</w:t>
      </w:r>
      <w:r>
        <w:rPr>
          <w:rFonts w:hint="eastAsia" w:ascii="仿宋" w:hAnsi="仿宋" w:eastAsia="仿宋" w:cs="仿宋"/>
          <w:sz w:val="32"/>
          <w:szCs w:val="32"/>
        </w:rPr>
        <w:t>，且与昌江区文旅局签订合作协议。</w:t>
      </w:r>
    </w:p>
    <w:p w14:paraId="6403C0B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三、奖励政策范围及标准：</w:t>
      </w:r>
    </w:p>
    <w:p w14:paraId="4DD3F32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1、奖励资金主要用于奖励旅行社组织外地游客（不含本市）来昌江区进行“吃、住、行、游、购、娱 ”的旅游活动。期间组织的市外游客须</w:t>
      </w:r>
      <w:r>
        <w:rPr>
          <w:rFonts w:hint="eastAsia" w:ascii="仿宋" w:hAnsi="仿宋" w:eastAsia="仿宋" w:cs="仿宋"/>
          <w:sz w:val="32"/>
          <w:szCs w:val="32"/>
          <w:lang w:val="en-US" w:eastAsia="zh-CN"/>
        </w:rPr>
        <w:t>全年</w:t>
      </w:r>
      <w:r>
        <w:rPr>
          <w:rFonts w:hint="eastAsia" w:ascii="仿宋" w:hAnsi="仿宋" w:eastAsia="仿宋" w:cs="仿宋"/>
          <w:sz w:val="32"/>
          <w:szCs w:val="32"/>
        </w:rPr>
        <w:t>达到1万人次以上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或每季度2500人次以上</w:t>
      </w:r>
      <w:r>
        <w:rPr>
          <w:rFonts w:hint="eastAsia" w:ascii="仿宋" w:hAnsi="仿宋" w:eastAsia="仿宋" w:cs="仿宋"/>
          <w:sz w:val="32"/>
          <w:szCs w:val="32"/>
          <w:lang w:eastAsia="zh-CN"/>
        </w:rPr>
        <w:t>）</w:t>
      </w:r>
      <w:r>
        <w:rPr>
          <w:rFonts w:hint="eastAsia" w:ascii="仿宋" w:hAnsi="仿宋" w:eastAsia="仿宋" w:cs="仿宋"/>
          <w:sz w:val="32"/>
          <w:szCs w:val="32"/>
        </w:rPr>
        <w:t>且符合本办法制定的各项标准。</w:t>
      </w:r>
    </w:p>
    <w:p w14:paraId="4F2254D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区域内景点：古窑民俗博览区、景德镇中国陶瓷博物馆、昌南里景区、宁封窑景区、荷塘乡景区、江西直升机科技馆、</w:t>
      </w:r>
    </w:p>
    <w:p w14:paraId="6CC0D67F">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大梦瓷谷景区、陶博城。</w:t>
      </w:r>
    </w:p>
    <w:p w14:paraId="38BDA4BE">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before="52" w:line="600" w:lineRule="exact"/>
        <w:ind w:firstLine="640" w:firstLineChars="200"/>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奖励细则及标准</w:t>
      </w:r>
    </w:p>
    <w:p w14:paraId="0465657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A、旅游团队奖励。凡旅行社组织来昌江区旅游的团</w:t>
      </w:r>
      <w:r>
        <w:rPr>
          <w:rFonts w:hint="eastAsia" w:cs="仿宋"/>
          <w:snapToGrid w:val="0"/>
          <w:color w:val="000000"/>
          <w:kern w:val="0"/>
          <w:sz w:val="32"/>
          <w:szCs w:val="32"/>
          <w:lang w:val="en-US" w:eastAsia="zh-CN" w:bidi="ar-SA"/>
        </w:rPr>
        <w:t>队，</w:t>
      </w:r>
      <w:r>
        <w:rPr>
          <w:rFonts w:hint="eastAsia" w:ascii="仿宋" w:hAnsi="仿宋" w:eastAsia="仿宋" w:cs="仿宋"/>
          <w:snapToGrid w:val="0"/>
          <w:color w:val="000000"/>
          <w:kern w:val="0"/>
          <w:sz w:val="32"/>
          <w:szCs w:val="32"/>
          <w:lang w:val="en-US" w:eastAsia="en-US" w:bidi="ar-SA"/>
        </w:rPr>
        <w:t>游览</w:t>
      </w:r>
      <w:r>
        <w:rPr>
          <w:rFonts w:hint="eastAsia" w:cs="仿宋"/>
          <w:snapToGrid w:val="0"/>
          <w:color w:val="000000"/>
          <w:kern w:val="0"/>
          <w:sz w:val="32"/>
          <w:szCs w:val="32"/>
          <w:lang w:val="en-US" w:eastAsia="zh-CN" w:bidi="ar-SA"/>
        </w:rPr>
        <w:t>2</w:t>
      </w:r>
      <w:r>
        <w:rPr>
          <w:rFonts w:hint="eastAsia" w:ascii="仿宋" w:hAnsi="仿宋" w:eastAsia="仿宋" w:cs="仿宋"/>
          <w:snapToGrid w:val="0"/>
          <w:color w:val="000000"/>
          <w:kern w:val="0"/>
          <w:sz w:val="32"/>
          <w:szCs w:val="32"/>
          <w:lang w:val="en-US" w:eastAsia="en-US" w:bidi="ar-SA"/>
        </w:rPr>
        <w:t>个以上景区，且一次性组织游客不少于 30 名（含</w:t>
      </w:r>
      <w:r>
        <w:rPr>
          <w:rFonts w:hint="eastAsia" w:cs="仿宋"/>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en-US" w:bidi="ar-SA"/>
        </w:rPr>
        <w:t>的</w:t>
      </w:r>
      <w:r>
        <w:rPr>
          <w:rFonts w:hint="eastAsia" w:cs="仿宋"/>
          <w:snapToGrid w:val="0"/>
          <w:color w:val="000000"/>
          <w:kern w:val="0"/>
          <w:sz w:val="32"/>
          <w:szCs w:val="32"/>
          <w:lang w:val="en-US" w:eastAsia="zh-CN" w:bidi="ar-SA"/>
        </w:rPr>
        <w:t>，</w:t>
      </w:r>
      <w:r>
        <w:rPr>
          <w:rFonts w:hint="eastAsia" w:ascii="仿宋" w:hAnsi="仿宋" w:eastAsia="仿宋" w:cs="仿宋"/>
          <w:snapToGrid w:val="0"/>
          <w:color w:val="000000"/>
          <w:kern w:val="0"/>
          <w:sz w:val="32"/>
          <w:szCs w:val="32"/>
          <w:lang w:val="en-US" w:eastAsia="en-US" w:bidi="ar-SA"/>
        </w:rPr>
        <w:t>给予</w:t>
      </w:r>
      <w:r>
        <w:rPr>
          <w:rFonts w:hint="eastAsia" w:cs="仿宋"/>
          <w:snapToGrid w:val="0"/>
          <w:color w:val="000000"/>
          <w:kern w:val="0"/>
          <w:sz w:val="32"/>
          <w:szCs w:val="32"/>
          <w:lang w:val="en-US" w:eastAsia="zh-CN" w:bidi="ar-SA"/>
        </w:rPr>
        <w:t>20</w:t>
      </w:r>
      <w:r>
        <w:rPr>
          <w:rFonts w:hint="eastAsia" w:ascii="仿宋" w:hAnsi="仿宋" w:eastAsia="仿宋" w:cs="仿宋"/>
          <w:snapToGrid w:val="0"/>
          <w:color w:val="000000"/>
          <w:kern w:val="0"/>
          <w:sz w:val="32"/>
          <w:szCs w:val="32"/>
          <w:lang w:val="en-US" w:eastAsia="en-US" w:bidi="ar-SA"/>
        </w:rPr>
        <w:t>元/人的奖补；如住宿</w:t>
      </w:r>
      <w:r>
        <w:rPr>
          <w:rFonts w:hint="eastAsia" w:cs="仿宋"/>
          <w:snapToGrid w:val="0"/>
          <w:color w:val="000000"/>
          <w:kern w:val="0"/>
          <w:sz w:val="32"/>
          <w:szCs w:val="32"/>
          <w:lang w:val="en-US" w:eastAsia="zh-CN" w:bidi="ar-SA"/>
        </w:rPr>
        <w:t>1</w:t>
      </w:r>
      <w:r>
        <w:rPr>
          <w:rFonts w:hint="eastAsia" w:ascii="仿宋" w:hAnsi="仿宋" w:eastAsia="仿宋" w:cs="仿宋"/>
          <w:snapToGrid w:val="0"/>
          <w:color w:val="000000"/>
          <w:kern w:val="0"/>
          <w:sz w:val="32"/>
          <w:szCs w:val="32"/>
          <w:lang w:val="en-US" w:eastAsia="en-US" w:bidi="ar-SA"/>
        </w:rPr>
        <w:t>晚并游览 3 个以上景</w:t>
      </w:r>
      <w:r>
        <w:rPr>
          <w:rFonts w:hint="eastAsia" w:cs="仿宋"/>
          <w:snapToGrid w:val="0"/>
          <w:color w:val="000000"/>
          <w:kern w:val="0"/>
          <w:sz w:val="32"/>
          <w:szCs w:val="32"/>
          <w:lang w:val="en-US" w:eastAsia="zh-CN" w:bidi="ar-SA"/>
        </w:rPr>
        <w:t>区，</w:t>
      </w:r>
      <w:r>
        <w:rPr>
          <w:rFonts w:hint="eastAsia" w:ascii="仿宋" w:hAnsi="仿宋" w:eastAsia="仿宋" w:cs="仿宋"/>
          <w:snapToGrid w:val="0"/>
          <w:color w:val="000000"/>
          <w:kern w:val="0"/>
          <w:sz w:val="32"/>
          <w:szCs w:val="32"/>
          <w:lang w:val="en-US" w:eastAsia="en-US" w:bidi="ar-SA"/>
        </w:rPr>
        <w:t>在享受本项政策的基础上再增加</w:t>
      </w:r>
      <w:r>
        <w:rPr>
          <w:rFonts w:hint="eastAsia" w:cs="仿宋"/>
          <w:snapToGrid w:val="0"/>
          <w:color w:val="000000"/>
          <w:kern w:val="0"/>
          <w:sz w:val="32"/>
          <w:szCs w:val="32"/>
          <w:lang w:val="en-US" w:eastAsia="zh-CN" w:bidi="ar-SA"/>
        </w:rPr>
        <w:t>20</w:t>
      </w:r>
      <w:r>
        <w:rPr>
          <w:rFonts w:hint="eastAsia" w:ascii="仿宋" w:hAnsi="仿宋" w:eastAsia="仿宋" w:cs="仿宋"/>
          <w:snapToGrid w:val="0"/>
          <w:color w:val="000000"/>
          <w:kern w:val="0"/>
          <w:sz w:val="32"/>
          <w:szCs w:val="32"/>
          <w:lang w:val="en-US" w:eastAsia="en-US" w:bidi="ar-SA"/>
        </w:rPr>
        <w:t>元/人的奖补；鼓励团队在景区周边用餐，经认定后可在享受本项政策的基础上再增加</w:t>
      </w:r>
      <w:r>
        <w:rPr>
          <w:rFonts w:hint="eastAsia" w:cs="仿宋"/>
          <w:snapToGrid w:val="0"/>
          <w:color w:val="000000"/>
          <w:kern w:val="0"/>
          <w:sz w:val="32"/>
          <w:szCs w:val="32"/>
          <w:lang w:val="en-US" w:eastAsia="zh-CN" w:bidi="ar-SA"/>
        </w:rPr>
        <w:t>10</w:t>
      </w:r>
      <w:r>
        <w:rPr>
          <w:rFonts w:hint="eastAsia" w:ascii="仿宋" w:hAnsi="仿宋" w:eastAsia="仿宋" w:cs="仿宋"/>
          <w:snapToGrid w:val="0"/>
          <w:color w:val="000000"/>
          <w:kern w:val="0"/>
          <w:sz w:val="32"/>
          <w:szCs w:val="32"/>
          <w:lang w:val="en-US" w:eastAsia="en-US" w:bidi="ar-SA"/>
        </w:rPr>
        <w:t>元/人的奖补。</w:t>
      </w:r>
    </w:p>
    <w:p w14:paraId="383F757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52" w:line="600" w:lineRule="exact"/>
        <w:ind w:firstLine="640" w:firstLineChars="200"/>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此项奖励总预算</w:t>
      </w:r>
      <w:r>
        <w:rPr>
          <w:rFonts w:hint="eastAsia" w:cs="仿宋"/>
          <w:snapToGrid w:val="0"/>
          <w:color w:val="000000"/>
          <w:kern w:val="0"/>
          <w:sz w:val="32"/>
          <w:szCs w:val="32"/>
          <w:lang w:val="en-US" w:eastAsia="zh-CN" w:bidi="ar-SA"/>
        </w:rPr>
        <w:t>40</w:t>
      </w:r>
      <w:r>
        <w:rPr>
          <w:rFonts w:hint="eastAsia" w:ascii="仿宋" w:hAnsi="仿宋" w:eastAsia="仿宋" w:cs="仿宋"/>
          <w:snapToGrid w:val="0"/>
          <w:color w:val="000000"/>
          <w:kern w:val="0"/>
          <w:sz w:val="32"/>
          <w:szCs w:val="32"/>
          <w:lang w:val="en-US" w:eastAsia="en-US" w:bidi="ar-SA"/>
        </w:rPr>
        <w:t>万元，超额不再奖励。</w:t>
      </w:r>
    </w:p>
    <w:p w14:paraId="61D4E97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B、研学旅行团队奖励。鼓励区外研学实践团队到昌江区内景区、博物馆、研学基地开展研学实践，每次人数在100 人以上，按</w:t>
      </w:r>
      <w:r>
        <w:rPr>
          <w:rFonts w:hint="eastAsia" w:cs="仿宋"/>
          <w:snapToGrid w:val="0"/>
          <w:color w:val="000000"/>
          <w:kern w:val="0"/>
          <w:sz w:val="32"/>
          <w:szCs w:val="32"/>
          <w:lang w:val="en-US" w:eastAsia="zh-CN" w:bidi="ar-SA"/>
        </w:rPr>
        <w:t>10</w:t>
      </w:r>
      <w:r>
        <w:rPr>
          <w:rFonts w:hint="eastAsia" w:ascii="仿宋" w:hAnsi="仿宋" w:eastAsia="仿宋" w:cs="仿宋"/>
          <w:snapToGrid w:val="0"/>
          <w:color w:val="000000"/>
          <w:kern w:val="0"/>
          <w:sz w:val="32"/>
          <w:szCs w:val="32"/>
          <w:lang w:val="en-US" w:eastAsia="en-US" w:bidi="ar-SA"/>
        </w:rPr>
        <w:t>元/人奖补；如在区内用餐的增加</w:t>
      </w:r>
      <w:r>
        <w:rPr>
          <w:rFonts w:hint="eastAsia" w:cs="仿宋"/>
          <w:snapToGrid w:val="0"/>
          <w:color w:val="000000"/>
          <w:kern w:val="0"/>
          <w:sz w:val="32"/>
          <w:szCs w:val="32"/>
          <w:lang w:val="en-US" w:eastAsia="zh-CN" w:bidi="ar-SA"/>
        </w:rPr>
        <w:t>5</w:t>
      </w:r>
      <w:r>
        <w:rPr>
          <w:rFonts w:hint="eastAsia" w:ascii="仿宋" w:hAnsi="仿宋" w:eastAsia="仿宋" w:cs="仿宋"/>
          <w:snapToGrid w:val="0"/>
          <w:color w:val="000000"/>
          <w:kern w:val="0"/>
          <w:sz w:val="32"/>
          <w:szCs w:val="32"/>
          <w:lang w:val="en-US" w:eastAsia="en-US" w:bidi="ar-SA"/>
        </w:rPr>
        <w:t>元/</w:t>
      </w:r>
      <w:r>
        <w:rPr>
          <w:rFonts w:hint="eastAsia" w:cs="仿宋"/>
          <w:snapToGrid w:val="0"/>
          <w:color w:val="000000"/>
          <w:kern w:val="0"/>
          <w:sz w:val="32"/>
          <w:szCs w:val="32"/>
          <w:lang w:val="en-US" w:eastAsia="zh-CN" w:bidi="ar-SA"/>
        </w:rPr>
        <w:t>人，</w:t>
      </w:r>
      <w:r>
        <w:rPr>
          <w:rFonts w:hint="eastAsia" w:ascii="仿宋" w:hAnsi="仿宋" w:eastAsia="仿宋" w:cs="仿宋"/>
          <w:snapToGrid w:val="0"/>
          <w:color w:val="000000"/>
          <w:kern w:val="0"/>
          <w:sz w:val="32"/>
          <w:szCs w:val="32"/>
          <w:lang w:val="en-US" w:eastAsia="en-US" w:bidi="ar-SA"/>
        </w:rPr>
        <w:t>在区内住宿的增加</w:t>
      </w:r>
      <w:r>
        <w:rPr>
          <w:rFonts w:hint="eastAsia" w:cs="仿宋"/>
          <w:snapToGrid w:val="0"/>
          <w:color w:val="000000"/>
          <w:kern w:val="0"/>
          <w:sz w:val="32"/>
          <w:szCs w:val="32"/>
          <w:lang w:val="en-US" w:eastAsia="zh-CN" w:bidi="ar-SA"/>
        </w:rPr>
        <w:t>10</w:t>
      </w:r>
      <w:r>
        <w:rPr>
          <w:rFonts w:hint="eastAsia" w:ascii="仿宋" w:hAnsi="仿宋" w:eastAsia="仿宋" w:cs="仿宋"/>
          <w:snapToGrid w:val="0"/>
          <w:color w:val="000000"/>
          <w:kern w:val="0"/>
          <w:sz w:val="32"/>
          <w:szCs w:val="32"/>
          <w:lang w:val="en-US" w:eastAsia="en-US" w:bidi="ar-SA"/>
        </w:rPr>
        <w:t>元/人。</w:t>
      </w:r>
    </w:p>
    <w:p w14:paraId="4B442C7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此项奖励总预算</w:t>
      </w:r>
      <w:r>
        <w:rPr>
          <w:rFonts w:hint="eastAsia" w:cs="仿宋"/>
          <w:snapToGrid w:val="0"/>
          <w:color w:val="000000"/>
          <w:kern w:val="0"/>
          <w:sz w:val="32"/>
          <w:szCs w:val="32"/>
          <w:lang w:val="en-US" w:eastAsia="zh-CN" w:bidi="ar-SA"/>
        </w:rPr>
        <w:t>40</w:t>
      </w:r>
      <w:r>
        <w:rPr>
          <w:rFonts w:hint="eastAsia" w:ascii="仿宋" w:hAnsi="仿宋" w:eastAsia="仿宋" w:cs="仿宋"/>
          <w:snapToGrid w:val="0"/>
          <w:color w:val="000000"/>
          <w:kern w:val="0"/>
          <w:sz w:val="32"/>
          <w:szCs w:val="32"/>
          <w:lang w:val="en-US" w:eastAsia="en-US" w:bidi="ar-SA"/>
        </w:rPr>
        <w:t>万元，超额不再奖励。</w:t>
      </w:r>
    </w:p>
    <w:p w14:paraId="488733A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en-US" w:bidi="ar-SA"/>
        </w:rPr>
        <w:t>C、</w:t>
      </w:r>
      <w:r>
        <w:rPr>
          <w:rFonts w:hint="eastAsia" w:cs="仿宋"/>
          <w:snapToGrid w:val="0"/>
          <w:color w:val="000000"/>
          <w:kern w:val="0"/>
          <w:sz w:val="32"/>
          <w:szCs w:val="32"/>
          <w:lang w:val="en-US" w:eastAsia="zh-CN" w:bidi="ar-SA"/>
        </w:rPr>
        <w:t>为支持2024年区委区政府重点打造的昌南里景区发展，对组团来昌南里景区的游客执行特殊奖励办法，每次组织游客30人以上，游览30分钟以上</w:t>
      </w:r>
      <w:r>
        <w:rPr>
          <w:rFonts w:hint="eastAsia" w:ascii="仿宋" w:hAnsi="仿宋" w:eastAsia="仿宋" w:cs="仿宋"/>
          <w:snapToGrid w:val="0"/>
          <w:color w:val="000000"/>
          <w:kern w:val="0"/>
          <w:sz w:val="32"/>
          <w:szCs w:val="32"/>
          <w:lang w:val="en-US" w:eastAsia="en-US" w:bidi="ar-SA"/>
        </w:rPr>
        <w:t>给予</w:t>
      </w:r>
      <w:r>
        <w:rPr>
          <w:rFonts w:hint="eastAsia" w:cs="仿宋"/>
          <w:snapToGrid w:val="0"/>
          <w:color w:val="000000"/>
          <w:kern w:val="0"/>
          <w:sz w:val="32"/>
          <w:szCs w:val="32"/>
          <w:lang w:val="en-US" w:eastAsia="zh-CN" w:bidi="ar-SA"/>
        </w:rPr>
        <w:t>7</w:t>
      </w:r>
      <w:r>
        <w:rPr>
          <w:rFonts w:hint="eastAsia" w:ascii="仿宋" w:hAnsi="仿宋" w:eastAsia="仿宋" w:cs="仿宋"/>
          <w:snapToGrid w:val="0"/>
          <w:color w:val="000000"/>
          <w:kern w:val="0"/>
          <w:sz w:val="32"/>
          <w:szCs w:val="32"/>
          <w:lang w:val="en-US" w:eastAsia="en-US" w:bidi="ar-SA"/>
        </w:rPr>
        <w:t>元/人</w:t>
      </w:r>
      <w:r>
        <w:rPr>
          <w:rFonts w:hint="eastAsia" w:cs="仿宋"/>
          <w:snapToGrid w:val="0"/>
          <w:color w:val="000000"/>
          <w:kern w:val="0"/>
          <w:sz w:val="32"/>
          <w:szCs w:val="32"/>
          <w:lang w:val="en-US" w:eastAsia="zh-CN" w:bidi="ar-SA"/>
        </w:rPr>
        <w:t>的</w:t>
      </w:r>
      <w:r>
        <w:rPr>
          <w:rFonts w:hint="eastAsia" w:ascii="仿宋" w:hAnsi="仿宋" w:eastAsia="仿宋" w:cs="仿宋"/>
          <w:snapToGrid w:val="0"/>
          <w:color w:val="000000"/>
          <w:kern w:val="0"/>
          <w:sz w:val="32"/>
          <w:szCs w:val="32"/>
          <w:lang w:val="en-US" w:eastAsia="en-US" w:bidi="ar-SA"/>
        </w:rPr>
        <w:t>奖补</w:t>
      </w:r>
      <w:r>
        <w:rPr>
          <w:rFonts w:hint="eastAsia" w:cs="仿宋"/>
          <w:snapToGrid w:val="0"/>
          <w:color w:val="000000"/>
          <w:kern w:val="0"/>
          <w:sz w:val="32"/>
          <w:szCs w:val="32"/>
          <w:lang w:val="en-US" w:eastAsia="zh-CN" w:bidi="ar-SA"/>
        </w:rPr>
        <w:t>；游览60分钟以上</w:t>
      </w:r>
      <w:r>
        <w:rPr>
          <w:rFonts w:hint="eastAsia" w:ascii="仿宋" w:hAnsi="仿宋" w:eastAsia="仿宋" w:cs="仿宋"/>
          <w:snapToGrid w:val="0"/>
          <w:color w:val="000000"/>
          <w:kern w:val="0"/>
          <w:sz w:val="32"/>
          <w:szCs w:val="32"/>
          <w:lang w:val="en-US" w:eastAsia="en-US" w:bidi="ar-SA"/>
        </w:rPr>
        <w:t>给予</w:t>
      </w:r>
      <w:r>
        <w:rPr>
          <w:rFonts w:hint="eastAsia" w:cs="仿宋"/>
          <w:snapToGrid w:val="0"/>
          <w:color w:val="000000"/>
          <w:kern w:val="0"/>
          <w:sz w:val="32"/>
          <w:szCs w:val="32"/>
          <w:lang w:val="en-US" w:eastAsia="zh-CN" w:bidi="ar-SA"/>
        </w:rPr>
        <w:t>10</w:t>
      </w:r>
      <w:r>
        <w:rPr>
          <w:rFonts w:hint="eastAsia" w:ascii="仿宋" w:hAnsi="仿宋" w:eastAsia="仿宋" w:cs="仿宋"/>
          <w:snapToGrid w:val="0"/>
          <w:color w:val="000000"/>
          <w:kern w:val="0"/>
          <w:sz w:val="32"/>
          <w:szCs w:val="32"/>
          <w:lang w:val="en-US" w:eastAsia="en-US" w:bidi="ar-SA"/>
        </w:rPr>
        <w:t>元/人</w:t>
      </w:r>
      <w:r>
        <w:rPr>
          <w:rFonts w:hint="eastAsia" w:cs="仿宋"/>
          <w:snapToGrid w:val="0"/>
          <w:color w:val="000000"/>
          <w:kern w:val="0"/>
          <w:sz w:val="32"/>
          <w:szCs w:val="32"/>
          <w:lang w:val="en-US" w:eastAsia="zh-CN" w:bidi="ar-SA"/>
        </w:rPr>
        <w:t>的</w:t>
      </w:r>
      <w:r>
        <w:rPr>
          <w:rFonts w:hint="eastAsia" w:ascii="仿宋" w:hAnsi="仿宋" w:eastAsia="仿宋" w:cs="仿宋"/>
          <w:snapToGrid w:val="0"/>
          <w:color w:val="000000"/>
          <w:kern w:val="0"/>
          <w:sz w:val="32"/>
          <w:szCs w:val="32"/>
          <w:lang w:val="en-US" w:eastAsia="en-US" w:bidi="ar-SA"/>
        </w:rPr>
        <w:t>奖补</w:t>
      </w:r>
      <w:r>
        <w:rPr>
          <w:rFonts w:hint="eastAsia" w:cs="仿宋"/>
          <w:snapToGrid w:val="0"/>
          <w:color w:val="000000"/>
          <w:kern w:val="0"/>
          <w:sz w:val="32"/>
          <w:szCs w:val="32"/>
          <w:lang w:val="en-US" w:eastAsia="zh-CN" w:bidi="ar-SA"/>
        </w:rPr>
        <w:t>。</w:t>
      </w:r>
    </w:p>
    <w:p w14:paraId="685EF01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napToGrid w:val="0"/>
          <w:color w:val="000000"/>
          <w:kern w:val="0"/>
          <w:sz w:val="32"/>
          <w:szCs w:val="32"/>
          <w:lang w:val="en-US" w:eastAsia="en-US" w:bidi="ar-SA"/>
        </w:rPr>
      </w:pPr>
      <w:r>
        <w:rPr>
          <w:rFonts w:hint="eastAsia" w:ascii="仿宋" w:hAnsi="仿宋" w:eastAsia="仿宋" w:cs="仿宋"/>
          <w:snapToGrid w:val="0"/>
          <w:color w:val="000000"/>
          <w:kern w:val="0"/>
          <w:sz w:val="32"/>
          <w:szCs w:val="32"/>
          <w:lang w:val="en-US" w:eastAsia="en-US" w:bidi="ar-SA"/>
        </w:rPr>
        <w:t>此项奖励总预算</w:t>
      </w:r>
      <w:r>
        <w:rPr>
          <w:rFonts w:hint="eastAsia" w:cs="仿宋"/>
          <w:snapToGrid w:val="0"/>
          <w:color w:val="000000"/>
          <w:kern w:val="0"/>
          <w:sz w:val="32"/>
          <w:szCs w:val="32"/>
          <w:lang w:val="en-US" w:eastAsia="zh-CN" w:bidi="ar-SA"/>
        </w:rPr>
        <w:t>40</w:t>
      </w:r>
      <w:r>
        <w:rPr>
          <w:rFonts w:hint="eastAsia" w:ascii="仿宋" w:hAnsi="仿宋" w:eastAsia="仿宋" w:cs="仿宋"/>
          <w:snapToGrid w:val="0"/>
          <w:color w:val="000000"/>
          <w:kern w:val="0"/>
          <w:sz w:val="32"/>
          <w:szCs w:val="32"/>
          <w:lang w:val="en-US" w:eastAsia="en-US" w:bidi="ar-SA"/>
        </w:rPr>
        <w:t>万元，超额不再奖励。</w:t>
      </w:r>
    </w:p>
    <w:p w14:paraId="77EB8BA3">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cs="仿宋"/>
          <w:snapToGrid w:val="0"/>
          <w:color w:val="000000"/>
          <w:kern w:val="0"/>
          <w:sz w:val="32"/>
          <w:szCs w:val="32"/>
          <w:lang w:val="en-US" w:eastAsia="zh-CN" w:bidi="ar-SA"/>
        </w:rPr>
      </w:pPr>
      <w:r>
        <w:rPr>
          <w:rFonts w:hint="eastAsia" w:cs="仿宋"/>
          <w:snapToGrid w:val="0"/>
          <w:color w:val="000000"/>
          <w:kern w:val="0"/>
          <w:sz w:val="32"/>
          <w:szCs w:val="32"/>
          <w:lang w:val="en-US" w:eastAsia="zh-CN" w:bidi="ar-SA"/>
        </w:rPr>
        <w:t>区全域旅游集散中心的散客奖励原则上可参照以上奖励办法，单团人数可以放宽，但必须是景市以外游客，方可执行奖励、考核。</w:t>
      </w:r>
    </w:p>
    <w:p w14:paraId="516DA87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以上奖励办法，</w:t>
      </w:r>
      <w:r>
        <w:rPr>
          <w:rFonts w:hint="eastAsia" w:cs="仿宋"/>
          <w:snapToGrid w:val="0"/>
          <w:color w:val="000000"/>
          <w:kern w:val="0"/>
          <w:sz w:val="32"/>
          <w:szCs w:val="32"/>
          <w:lang w:val="en-US" w:eastAsia="zh-CN" w:bidi="ar-SA"/>
        </w:rPr>
        <w:t>按每年度120万元封顶。</w:t>
      </w:r>
      <w:r>
        <w:rPr>
          <w:rFonts w:hint="eastAsia" w:ascii="仿宋" w:hAnsi="仿宋" w:eastAsia="仿宋" w:cs="仿宋"/>
          <w:snapToGrid w:val="0"/>
          <w:color w:val="000000"/>
          <w:kern w:val="0"/>
          <w:sz w:val="32"/>
          <w:szCs w:val="32"/>
          <w:lang w:val="en-US" w:eastAsia="zh-CN" w:bidi="ar-SA"/>
        </w:rPr>
        <w:t>由昌江区文旅局</w:t>
      </w:r>
      <w:r>
        <w:rPr>
          <w:rFonts w:hint="eastAsia" w:cs="仿宋"/>
          <w:snapToGrid w:val="0"/>
          <w:color w:val="000000"/>
          <w:kern w:val="0"/>
          <w:sz w:val="32"/>
          <w:szCs w:val="32"/>
          <w:lang w:val="en-US" w:eastAsia="zh-CN" w:bidi="ar-SA"/>
        </w:rPr>
        <w:t>制定考核细则，按季度组织专人</w:t>
      </w:r>
      <w:r>
        <w:rPr>
          <w:rFonts w:hint="eastAsia" w:ascii="仿宋" w:hAnsi="仿宋" w:eastAsia="仿宋" w:cs="仿宋"/>
          <w:snapToGrid w:val="0"/>
          <w:color w:val="000000"/>
          <w:kern w:val="0"/>
          <w:sz w:val="32"/>
          <w:szCs w:val="32"/>
          <w:lang w:val="en-US" w:eastAsia="zh-CN" w:bidi="ar-SA"/>
        </w:rPr>
        <w:t>进行考核</w:t>
      </w:r>
      <w:r>
        <w:rPr>
          <w:rFonts w:hint="eastAsia" w:cs="仿宋"/>
          <w:snapToGrid w:val="0"/>
          <w:color w:val="000000"/>
          <w:kern w:val="0"/>
          <w:sz w:val="32"/>
          <w:szCs w:val="32"/>
          <w:lang w:val="en-US" w:eastAsia="zh-CN" w:bidi="ar-SA"/>
        </w:rPr>
        <w:t>，并及时兑现以上各项奖补资金。</w:t>
      </w:r>
    </w:p>
    <w:p w14:paraId="6082F8A7">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p>
    <w:bookmarkEnd w:id="1"/>
    <w:p w14:paraId="700EC964">
      <w:pPr>
        <w:bidi w:val="0"/>
        <w:jc w:val="left"/>
        <w:rPr>
          <w:rFonts w:hint="eastAsia" w:ascii="黑体" w:hAnsi="黑体" w:eastAsia="黑体" w:cs="黑体"/>
          <w:b w:val="0"/>
          <w:bCs w:val="0"/>
          <w:kern w:val="2"/>
          <w:sz w:val="32"/>
          <w:szCs w:val="32"/>
          <w:lang w:val="en-US" w:eastAsia="zh-CN" w:bidi="ar-SA"/>
        </w:rPr>
      </w:pPr>
    </w:p>
    <w:p w14:paraId="5144702A">
      <w:pPr>
        <w:bidi w:val="0"/>
        <w:jc w:val="left"/>
        <w:rPr>
          <w:rFonts w:hint="eastAsia" w:ascii="黑体" w:hAnsi="黑体" w:eastAsia="黑体" w:cs="黑体"/>
          <w:b w:val="0"/>
          <w:bCs w:val="0"/>
          <w:kern w:val="2"/>
          <w:sz w:val="32"/>
          <w:szCs w:val="32"/>
          <w:lang w:val="en-US" w:eastAsia="zh-CN" w:bidi="ar-SA"/>
        </w:rPr>
      </w:pPr>
    </w:p>
    <w:p w14:paraId="43D782CB">
      <w:pPr>
        <w:bidi w:val="0"/>
        <w:jc w:val="left"/>
        <w:rPr>
          <w:rFonts w:hint="eastAsia" w:ascii="黑体" w:hAnsi="黑体" w:eastAsia="黑体" w:cs="黑体"/>
          <w:b w:val="0"/>
          <w:bCs w:val="0"/>
          <w:kern w:val="2"/>
          <w:sz w:val="32"/>
          <w:szCs w:val="32"/>
          <w:lang w:val="en-US" w:eastAsia="zh-CN" w:bidi="ar-SA"/>
        </w:rPr>
      </w:pPr>
    </w:p>
    <w:p w14:paraId="54DAC6E1">
      <w:pPr>
        <w:bidi w:val="0"/>
        <w:jc w:val="left"/>
        <w:rPr>
          <w:rFonts w:hint="eastAsia" w:ascii="仿宋_GB2312" w:hAnsi="仿宋_GB2312" w:eastAsia="仿宋_GB2312" w:cstheme="minorBidi"/>
          <w:kern w:val="2"/>
          <w:sz w:val="32"/>
          <w:szCs w:val="24"/>
          <w:lang w:val="en-US" w:eastAsia="zh-CN" w:bidi="ar-SA"/>
        </w:rPr>
      </w:pPr>
    </w:p>
    <w:p w14:paraId="6D2DEBF3">
      <w:pPr>
        <w:bidi w:val="0"/>
        <w:jc w:val="left"/>
        <w:rPr>
          <w:rFonts w:hint="eastAsia" w:ascii="仿宋_GB2312" w:hAnsi="仿宋_GB2312" w:eastAsia="仿宋_GB2312" w:cstheme="minorBidi"/>
          <w:kern w:val="2"/>
          <w:sz w:val="32"/>
          <w:szCs w:val="24"/>
          <w:lang w:val="en-US" w:eastAsia="zh-CN" w:bidi="ar-SA"/>
        </w:rPr>
      </w:pPr>
    </w:p>
    <w:p w14:paraId="68D6BFED">
      <w:pPr>
        <w:bidi w:val="0"/>
        <w:jc w:val="left"/>
        <w:rPr>
          <w:rFonts w:hint="eastAsia" w:ascii="仿宋_GB2312" w:hAnsi="仿宋_GB2312" w:eastAsia="仿宋_GB2312" w:cstheme="minorBidi"/>
          <w:kern w:val="2"/>
          <w:sz w:val="32"/>
          <w:szCs w:val="24"/>
          <w:lang w:val="en-US" w:eastAsia="zh-CN" w:bidi="ar-SA"/>
        </w:rPr>
      </w:pPr>
    </w:p>
    <w:p w14:paraId="5D7EF4DB">
      <w:pPr>
        <w:bidi w:val="0"/>
        <w:jc w:val="left"/>
        <w:rPr>
          <w:rFonts w:hint="eastAsia" w:ascii="仿宋_GB2312" w:hAnsi="仿宋_GB2312" w:eastAsia="仿宋_GB2312" w:cstheme="minorBidi"/>
          <w:kern w:val="2"/>
          <w:sz w:val="32"/>
          <w:szCs w:val="24"/>
          <w:lang w:val="en-US" w:eastAsia="zh-CN" w:bidi="ar-SA"/>
        </w:rPr>
      </w:pPr>
    </w:p>
    <w:p w14:paraId="7078F165">
      <w:pPr>
        <w:bidi w:val="0"/>
        <w:jc w:val="left"/>
        <w:rPr>
          <w:rFonts w:hint="eastAsia" w:ascii="仿宋_GB2312" w:hAnsi="仿宋_GB2312" w:eastAsia="仿宋_GB2312" w:cstheme="minorBidi"/>
          <w:kern w:val="2"/>
          <w:sz w:val="32"/>
          <w:szCs w:val="24"/>
          <w:lang w:val="en-US" w:eastAsia="zh-CN" w:bidi="ar-SA"/>
        </w:rPr>
      </w:pPr>
    </w:p>
    <w:p w14:paraId="34C30F1A">
      <w:pPr>
        <w:bidi w:val="0"/>
        <w:jc w:val="left"/>
        <w:rPr>
          <w:rFonts w:hint="eastAsia" w:ascii="仿宋_GB2312" w:hAnsi="仿宋_GB2312" w:eastAsia="仿宋_GB2312" w:cstheme="minorBidi"/>
          <w:kern w:val="2"/>
          <w:sz w:val="32"/>
          <w:szCs w:val="24"/>
          <w:lang w:val="en-US" w:eastAsia="zh-CN" w:bidi="ar-SA"/>
        </w:rPr>
      </w:pPr>
    </w:p>
    <w:p w14:paraId="6BB5BFF8">
      <w:pPr>
        <w:bidi w:val="0"/>
        <w:jc w:val="left"/>
        <w:rPr>
          <w:rFonts w:hint="eastAsia" w:ascii="仿宋_GB2312" w:hAnsi="仿宋_GB2312" w:eastAsia="仿宋_GB2312" w:cstheme="minorBidi"/>
          <w:kern w:val="2"/>
          <w:sz w:val="32"/>
          <w:szCs w:val="24"/>
          <w:lang w:val="en-US" w:eastAsia="zh-CN" w:bidi="ar-SA"/>
        </w:rPr>
      </w:pPr>
    </w:p>
    <w:p w14:paraId="6B3B370C">
      <w:pPr>
        <w:bidi w:val="0"/>
        <w:jc w:val="left"/>
        <w:rPr>
          <w:rFonts w:hint="eastAsia" w:ascii="仿宋_GB2312" w:hAnsi="仿宋_GB2312" w:eastAsia="仿宋_GB2312" w:cstheme="minorBidi"/>
          <w:kern w:val="2"/>
          <w:sz w:val="32"/>
          <w:szCs w:val="24"/>
          <w:lang w:val="en-US" w:eastAsia="zh-CN" w:bidi="ar-SA"/>
        </w:rPr>
      </w:pPr>
    </w:p>
    <w:p w14:paraId="62A270C0">
      <w:pPr>
        <w:bidi w:val="0"/>
        <w:jc w:val="left"/>
        <w:rPr>
          <w:rFonts w:hint="default" w:ascii="仿宋_GB2312" w:hAnsi="仿宋_GB2312" w:eastAsia="仿宋_GB2312" w:cstheme="minorBidi"/>
          <w:kern w:val="2"/>
          <w:sz w:val="32"/>
          <w:szCs w:val="24"/>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23BE2"/>
    <w:multiLevelType w:val="singleLevel"/>
    <w:tmpl w:val="06923BE2"/>
    <w:lvl w:ilvl="0" w:tentative="0">
      <w:start w:val="4"/>
      <w:numFmt w:val="upperLetter"/>
      <w:suff w:val="nothing"/>
      <w:lvlText w:val="%1、"/>
      <w:lvlJc w:val="left"/>
    </w:lvl>
  </w:abstractNum>
  <w:abstractNum w:abstractNumId="1">
    <w:nsid w:val="4B23F38D"/>
    <w:multiLevelType w:val="singleLevel"/>
    <w:tmpl w:val="4B23F38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OWNlNjVmNDJlMjI1OWZjYzFjNDliNGMyM2I3MGYifQ=="/>
  </w:docVars>
  <w:rsids>
    <w:rsidRoot w:val="0D271B57"/>
    <w:rsid w:val="048E66D3"/>
    <w:rsid w:val="0D271B57"/>
    <w:rsid w:val="20A774A8"/>
    <w:rsid w:val="4A2B08F0"/>
    <w:rsid w:val="558A0D0B"/>
    <w:rsid w:val="612B61D2"/>
    <w:rsid w:val="6E1A21C1"/>
    <w:rsid w:val="78C5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1137</Words>
  <Characters>1182</Characters>
  <Lines>0</Lines>
  <Paragraphs>0</Paragraphs>
  <TotalTime>49</TotalTime>
  <ScaleCrop>false</ScaleCrop>
  <LinksUpToDate>false</LinksUpToDate>
  <CharactersWithSpaces>1261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2024-05-07T07:22:00Z</dcterms:created>
  <dc:creator>Nevermore</dc:creator>
  <cp:lastModifiedBy>Administrator</cp:lastModifiedBy>
  <cp:lastPrinted>2024-05-16T02:17:00Z</cp:lastPrinted>
  <dcterms:modified xsi:type="dcterms:W3CDTF">2024-10-23T07:16:35Z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27B65705CEE44F08BF9F44C481902AFF_13</vt:lpwstr>
  </property>
</Properties>
</file>