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03ACA">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rPr>
      </w:pPr>
      <w:bookmarkStart w:id="0" w:name="_GoBack"/>
      <w:bookmarkEnd w:id="0"/>
    </w:p>
    <w:p w14:paraId="4C0A9D77">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rPr>
      </w:pPr>
    </w:p>
    <w:p w14:paraId="5E775124">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rPr>
      </w:pPr>
    </w:p>
    <w:p w14:paraId="1FC5EB7B">
      <w:pPr>
        <w:keepNext w:val="0"/>
        <w:keepLines w:val="0"/>
        <w:pageBreakBefore w:val="0"/>
        <w:widowControl w:val="0"/>
        <w:shd w:val="clear"/>
        <w:kinsoku/>
        <w:wordWrap/>
        <w:overflowPunct/>
        <w:topLinePunct w:val="0"/>
        <w:autoSpaceDE/>
        <w:autoSpaceDN/>
        <w:bidi w:val="0"/>
        <w:adjustRightInd/>
        <w:snapToGrid/>
        <w:spacing w:before="0" w:after="0" w:line="1400" w:lineRule="exact"/>
        <w:ind w:left="0" w:leftChars="0" w:right="0" w:firstLine="0" w:firstLineChars="0"/>
        <w:jc w:val="center"/>
        <w:textAlignment w:val="auto"/>
        <w:rPr>
          <w:rStyle w:val="10"/>
          <w:rFonts w:hint="default" w:ascii="方正小标宋简体" w:hAnsi="方正小标宋简体" w:eastAsia="方正小标宋简体" w:cs="方正小标宋简体"/>
          <w:b w:val="0"/>
          <w:bCs/>
          <w:i w:val="0"/>
          <w:iCs w:val="0"/>
          <w:w w:val="50"/>
          <w:sz w:val="126"/>
          <w:szCs w:val="126"/>
          <w:lang w:val="en-US" w:eastAsia="zh-CN"/>
        </w:rPr>
      </w:pPr>
      <w:r>
        <w:rPr>
          <w:rStyle w:val="10"/>
          <w:rFonts w:hint="eastAsia" w:ascii="方正小标宋简体" w:hAnsi="方正小标宋简体" w:eastAsia="方正小标宋简体" w:cs="方正小标宋简体"/>
          <w:b w:val="0"/>
          <w:bCs/>
          <w:i w:val="0"/>
          <w:iCs w:val="0"/>
          <w:color w:val="FF0000"/>
          <w:spacing w:val="1"/>
          <w:w w:val="44"/>
          <w:kern w:val="0"/>
          <w:sz w:val="126"/>
          <w:szCs w:val="126"/>
          <w:fitText w:val="8959" w:id="635512172"/>
          <w:lang w:val="en-US" w:eastAsia="zh-CN"/>
        </w:rPr>
        <w:t>景德镇市昌江区人民政府办公室文</w:t>
      </w:r>
      <w:r>
        <w:rPr>
          <w:rStyle w:val="10"/>
          <w:rFonts w:hint="eastAsia" w:ascii="方正小标宋简体" w:hAnsi="方正小标宋简体" w:eastAsia="方正小标宋简体" w:cs="方正小标宋简体"/>
          <w:b w:val="0"/>
          <w:bCs/>
          <w:i w:val="0"/>
          <w:iCs w:val="0"/>
          <w:color w:val="FF0000"/>
          <w:spacing w:val="55"/>
          <w:w w:val="44"/>
          <w:kern w:val="0"/>
          <w:sz w:val="126"/>
          <w:szCs w:val="126"/>
          <w:fitText w:val="8959" w:id="635512172"/>
          <w:lang w:val="en-US" w:eastAsia="zh-CN"/>
        </w:rPr>
        <w:t>件</w:t>
      </w:r>
    </w:p>
    <w:p w14:paraId="66464BDB">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rPr>
      </w:pPr>
    </w:p>
    <w:p w14:paraId="343F010A">
      <w:pPr>
        <w:keepNext w:val="0"/>
        <w:keepLines w:val="0"/>
        <w:pageBreakBefore w:val="0"/>
        <w:widowControl w:val="0"/>
        <w:shd w:val="clear"/>
        <w:kinsoku/>
        <w:wordWrap/>
        <w:overflowPunct/>
        <w:topLinePunct w:val="0"/>
        <w:autoSpaceDE/>
        <w:autoSpaceDN/>
        <w:bidi w:val="0"/>
        <w:adjustRightInd/>
        <w:snapToGrid/>
        <w:spacing w:before="0" w:after="0" w:line="52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rPr>
      </w:pPr>
    </w:p>
    <w:p w14:paraId="4B242943">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仿宋_GB2312" w:hAnsi="仿宋_GB2312" w:eastAsia="仿宋_GB2312" w:cs="仿宋_GB2312"/>
          <w:b w:val="0"/>
          <w:bCs/>
          <w:i w:val="0"/>
          <w:iCs w:val="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380365</wp:posOffset>
                </wp:positionV>
                <wp:extent cx="5886450" cy="0"/>
                <wp:effectExtent l="0" t="19050" r="0" b="19050"/>
                <wp:wrapNone/>
                <wp:docPr id="1" name="直接连接符 1"/>
                <wp:cNvGraphicFramePr/>
                <a:graphic xmlns:a="http://schemas.openxmlformats.org/drawingml/2006/main">
                  <a:graphicData uri="http://schemas.microsoft.com/office/word/2010/wordprocessingShape">
                    <wps:wsp>
                      <wps:cNvCnPr/>
                      <wps:spPr>
                        <a:xfrm>
                          <a:off x="844550" y="4468495"/>
                          <a:ext cx="5886450" cy="0"/>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35pt;margin-top:29.95pt;height:0pt;width:463.5pt;z-index:251659264;mso-width-relative:page;mso-height-relative:page;" filled="f" stroked="t" coordsize="21600,21600" o:gfxdata="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5v2i1gAAAAkBAAAPAAAAAAAAAAEAIAAAACIAAABkcnMvZG93bnJldi54bWxQSwECFAAU&#10;AAAACACHTuJAaROOzvMBAAC9AwAADgAAAAAAAAABACAAAAAlAQAAZHJzL2Uyb0RvYy54bWxQSwUG&#10;AAAAAAYABgBZAQAAigUAAAAA&#10;">
                <v:fill on="f" focussize="0,0"/>
                <v:stroke weight="3pt" color="#FF0000 [3204]" miterlimit="8" joinstyle="miter"/>
                <v:imagedata o:title=""/>
                <o:lock v:ext="edit" aspectratio="f"/>
              </v:line>
            </w:pict>
          </mc:Fallback>
        </mc:AlternateContent>
      </w:r>
      <w:r>
        <w:rPr>
          <w:rStyle w:val="10"/>
          <w:rFonts w:hint="eastAsia" w:ascii="仿宋_GB2312" w:hAnsi="仿宋_GB2312" w:eastAsia="仿宋_GB2312" w:cs="仿宋_GB2312"/>
          <w:b w:val="0"/>
          <w:bCs/>
          <w:i w:val="0"/>
          <w:iCs w:val="0"/>
          <w:sz w:val="32"/>
          <w:szCs w:val="32"/>
          <w:lang w:val="en-US" w:eastAsia="zh-CN"/>
        </w:rPr>
        <w:t>昌府办字〔2025〕2号</w:t>
      </w:r>
    </w:p>
    <w:p w14:paraId="788E2F04">
      <w:pPr>
        <w:keepNext w:val="0"/>
        <w:keepLines w:val="0"/>
        <w:pageBreakBefore w:val="0"/>
        <w:widowControl w:val="0"/>
        <w:shd w:val="clear"/>
        <w:kinsoku/>
        <w:wordWrap/>
        <w:overflowPunct/>
        <w:topLinePunct w:val="0"/>
        <w:autoSpaceDE/>
        <w:autoSpaceDN/>
        <w:bidi w:val="0"/>
        <w:adjustRightInd/>
        <w:snapToGrid/>
        <w:spacing w:before="0" w:after="0" w:line="66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rPr>
      </w:pPr>
    </w:p>
    <w:p w14:paraId="4C02F813">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lang w:val="en-US" w:eastAsia="zh-CN"/>
        </w:rPr>
      </w:pPr>
      <w:r>
        <w:rPr>
          <w:rStyle w:val="10"/>
          <w:rFonts w:hint="eastAsia" w:ascii="方正小标宋简体" w:hAnsi="方正小标宋简体" w:eastAsia="方正小标宋简体" w:cs="方正小标宋简体"/>
          <w:b w:val="0"/>
          <w:bCs/>
          <w:i w:val="0"/>
          <w:iCs w:val="0"/>
          <w:sz w:val="44"/>
          <w:szCs w:val="44"/>
          <w:lang w:val="en-US" w:eastAsia="zh-CN"/>
        </w:rPr>
        <w:t>昌江区人民政府办公室</w:t>
      </w:r>
    </w:p>
    <w:p w14:paraId="0319D0E3">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kern w:val="0"/>
          <w:sz w:val="44"/>
          <w:szCs w:val="44"/>
          <w:lang w:val="en-US" w:eastAsia="zh-CN" w:bidi="ar"/>
        </w:rPr>
      </w:pPr>
      <w:r>
        <w:rPr>
          <w:rStyle w:val="10"/>
          <w:rFonts w:hint="eastAsia" w:ascii="方正小标宋简体" w:hAnsi="方正小标宋简体" w:eastAsia="方正小标宋简体" w:cs="方正小标宋简体"/>
          <w:b w:val="0"/>
          <w:bCs/>
          <w:i w:val="0"/>
          <w:iCs w:val="0"/>
          <w:sz w:val="44"/>
          <w:szCs w:val="44"/>
        </w:rPr>
        <w:t>关于</w:t>
      </w:r>
      <w:r>
        <w:rPr>
          <w:rStyle w:val="10"/>
          <w:rFonts w:hint="eastAsia" w:ascii="方正小标宋简体" w:hAnsi="方正小标宋简体" w:eastAsia="方正小标宋简体" w:cs="方正小标宋简体"/>
          <w:b w:val="0"/>
          <w:bCs/>
          <w:i w:val="0"/>
          <w:iCs w:val="0"/>
          <w:sz w:val="44"/>
          <w:szCs w:val="44"/>
          <w:lang w:eastAsia="zh-CN"/>
        </w:rPr>
        <w:t>印发</w:t>
      </w:r>
      <w:r>
        <w:rPr>
          <w:rStyle w:val="10"/>
          <w:rFonts w:hint="eastAsia" w:ascii="方正小标宋简体" w:hAnsi="方正小标宋简体" w:eastAsia="方正小标宋简体" w:cs="方正小标宋简体"/>
          <w:b w:val="0"/>
          <w:bCs/>
          <w:i w:val="0"/>
          <w:iCs w:val="0"/>
          <w:sz w:val="44"/>
          <w:szCs w:val="44"/>
          <w:lang w:val="en-US" w:eastAsia="zh-CN"/>
        </w:rPr>
        <w:t>《</w:t>
      </w:r>
      <w:r>
        <w:rPr>
          <w:rStyle w:val="10"/>
          <w:rFonts w:hint="eastAsia" w:ascii="方正小标宋简体" w:hAnsi="方正小标宋简体" w:eastAsia="方正小标宋简体" w:cs="方正小标宋简体"/>
          <w:b w:val="0"/>
          <w:bCs/>
          <w:i w:val="0"/>
          <w:iCs w:val="0"/>
          <w:kern w:val="0"/>
          <w:sz w:val="44"/>
          <w:szCs w:val="44"/>
          <w:lang w:val="en-US" w:eastAsia="zh-CN" w:bidi="ar"/>
        </w:rPr>
        <w:t>昌江区深化集体林权制度</w:t>
      </w:r>
    </w:p>
    <w:p w14:paraId="6BAC06D5">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10"/>
          <w:rFonts w:hint="eastAsia" w:ascii="方正小标宋简体" w:hAnsi="方正小标宋简体" w:eastAsia="方正小标宋简体" w:cs="方正小标宋简体"/>
          <w:b w:val="0"/>
          <w:bCs/>
          <w:i w:val="0"/>
          <w:iCs w:val="0"/>
          <w:sz w:val="44"/>
          <w:szCs w:val="44"/>
          <w:lang w:val="en-US" w:eastAsia="zh-CN"/>
        </w:rPr>
      </w:pPr>
      <w:r>
        <w:rPr>
          <w:rStyle w:val="10"/>
          <w:rFonts w:hint="eastAsia" w:ascii="方正小标宋简体" w:hAnsi="方正小标宋简体" w:eastAsia="方正小标宋简体" w:cs="方正小标宋简体"/>
          <w:b w:val="0"/>
          <w:bCs/>
          <w:i w:val="0"/>
          <w:iCs w:val="0"/>
          <w:kern w:val="0"/>
          <w:sz w:val="44"/>
          <w:szCs w:val="44"/>
          <w:lang w:val="en-US" w:eastAsia="zh-CN" w:bidi="ar"/>
        </w:rPr>
        <w:t>改革实施细则</w:t>
      </w:r>
      <w:r>
        <w:rPr>
          <w:rStyle w:val="10"/>
          <w:rFonts w:hint="eastAsia" w:ascii="方正小标宋简体" w:hAnsi="方正小标宋简体" w:eastAsia="方正小标宋简体" w:cs="方正小标宋简体"/>
          <w:b w:val="0"/>
          <w:bCs/>
          <w:i w:val="0"/>
          <w:iCs w:val="0"/>
          <w:sz w:val="44"/>
          <w:szCs w:val="44"/>
          <w:lang w:val="en-US" w:eastAsia="zh-CN"/>
        </w:rPr>
        <w:t>》的通知</w:t>
      </w:r>
    </w:p>
    <w:p w14:paraId="78945CE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 w:hAnsi="仿宋" w:eastAsia="仿宋" w:cs="仿宋"/>
          <w:sz w:val="32"/>
          <w:szCs w:val="32"/>
        </w:rPr>
      </w:pPr>
    </w:p>
    <w:p w14:paraId="07AA25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各乡</w:t>
      </w:r>
      <w:r>
        <w:rPr>
          <w:rFonts w:hint="eastAsia"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镇</w:t>
      </w:r>
      <w:r>
        <w:rPr>
          <w:rFonts w:hint="eastAsia"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人民政府、街道办事处，</w:t>
      </w:r>
      <w:r>
        <w:rPr>
          <w:rFonts w:hint="eastAsia" w:cs="仿宋_GB2312"/>
          <w:i w:val="0"/>
          <w:iCs w:val="0"/>
          <w:caps w:val="0"/>
          <w:color w:val="000000"/>
          <w:spacing w:val="0"/>
          <w:sz w:val="32"/>
          <w:szCs w:val="32"/>
          <w:shd w:val="clear" w:color="auto" w:fill="FFFFFF"/>
          <w:lang w:eastAsia="zh-CN"/>
        </w:rPr>
        <w:t>区政府有关部门，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区</w:t>
      </w:r>
      <w:r>
        <w:rPr>
          <w:rFonts w:hint="eastAsia" w:cs="仿宋_GB2312"/>
          <w:i w:val="0"/>
          <w:iCs w:val="0"/>
          <w:caps w:val="0"/>
          <w:color w:val="000000"/>
          <w:spacing w:val="0"/>
          <w:sz w:val="32"/>
          <w:szCs w:val="32"/>
          <w:shd w:val="clear" w:color="auto" w:fill="FFFFFF"/>
          <w:lang w:val="en-US" w:eastAsia="zh-CN"/>
        </w:rPr>
        <w:t>直有关</w:t>
      </w:r>
      <w:r>
        <w:rPr>
          <w:rFonts w:hint="eastAsia" w:cs="仿宋_GB2312"/>
          <w:i w:val="0"/>
          <w:iCs w:val="0"/>
          <w:caps w:val="0"/>
          <w:color w:val="000000"/>
          <w:spacing w:val="0"/>
          <w:sz w:val="32"/>
          <w:szCs w:val="32"/>
          <w:shd w:val="clear" w:color="auto" w:fill="FFFFFF"/>
          <w:lang w:eastAsia="zh-CN"/>
        </w:rPr>
        <w:t>单位：</w:t>
      </w:r>
    </w:p>
    <w:p w14:paraId="2B82CAE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《昌江区深化集体林权制度改革实施细则》</w:t>
      </w:r>
      <w:r>
        <w:rPr>
          <w:rFonts w:hint="eastAsia" w:ascii="仿宋_GB2312" w:hAnsi="仿宋_GB2312" w:cs="仿宋_GB2312"/>
          <w:sz w:val="32"/>
          <w:szCs w:val="32"/>
          <w:lang w:val="en-US" w:eastAsia="zh-CN"/>
        </w:rPr>
        <w:t>已经区政府同意，现印发给你们，请认真贯彻落实</w:t>
      </w:r>
      <w:r>
        <w:rPr>
          <w:rFonts w:hint="eastAsia" w:ascii="仿宋_GB2312" w:hAnsi="仿宋_GB2312" w:eastAsia="仿宋_GB2312" w:cs="仿宋_GB2312"/>
          <w:sz w:val="32"/>
          <w:szCs w:val="32"/>
          <w:lang w:val="en-US" w:eastAsia="zh-CN"/>
        </w:rPr>
        <w:t xml:space="preserve">。 </w:t>
      </w:r>
    </w:p>
    <w:p w14:paraId="00290A7C">
      <w:pPr>
        <w:pStyle w:val="2"/>
        <w:ind w:left="0" w:leftChars="0" w:firstLine="0" w:firstLineChars="0"/>
        <w:rPr>
          <w:rFonts w:hint="default"/>
          <w:lang w:val="en-US" w:eastAsia="zh-CN"/>
        </w:rPr>
      </w:pPr>
    </w:p>
    <w:p w14:paraId="0FBBD4E7">
      <w:pPr>
        <w:pStyle w:val="2"/>
        <w:ind w:left="0" w:leftChars="0" w:firstLine="0" w:firstLineChars="0"/>
        <w:rPr>
          <w:rFonts w:hint="default"/>
          <w:lang w:val="en-US" w:eastAsia="zh-CN"/>
        </w:rPr>
      </w:pPr>
    </w:p>
    <w:p w14:paraId="25DFA0C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0" w:firstLineChars="0"/>
        <w:jc w:val="center"/>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昌江区人民政府办公室 </w:t>
      </w:r>
    </w:p>
    <w:p w14:paraId="22EF23BD">
      <w:pPr>
        <w:keepNext w:val="0"/>
        <w:keepLines w:val="0"/>
        <w:pageBreakBefore w:val="0"/>
        <w:widowControl w:val="0"/>
        <w:kinsoku/>
        <w:wordWrap w:val="0"/>
        <w:overflowPunct/>
        <w:topLinePunct w:val="0"/>
        <w:autoSpaceDE/>
        <w:autoSpaceDN/>
        <w:bidi w:val="0"/>
        <w:adjustRightInd w:val="0"/>
        <w:snapToGrid w:val="0"/>
        <w:spacing w:beforeAutospacing="0" w:afterAutospacing="0" w:line="600" w:lineRule="exact"/>
        <w:ind w:firstLine="0" w:firstLineChars="0"/>
        <w:jc w:val="center"/>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年1月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 xml:space="preserve"> </w:t>
      </w:r>
    </w:p>
    <w:p w14:paraId="75DDFCED">
      <w:pPr>
        <w:keepNext w:val="0"/>
        <w:keepLines w:val="0"/>
        <w:pageBreakBefore w:val="0"/>
        <w:widowControl w:val="0"/>
        <w:kinsoku/>
        <w:overflowPunct/>
        <w:topLinePunct w:val="0"/>
        <w:autoSpaceDE/>
        <w:autoSpaceDN/>
        <w:bidi w:val="0"/>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sectPr>
          <w:footerReference r:id="rId5" w:type="default"/>
          <w:pgSz w:w="11906" w:h="16838"/>
          <w:pgMar w:top="2098" w:right="1474" w:bottom="1984" w:left="1587" w:header="851" w:footer="992" w:gutter="0"/>
          <w:pgNumType w:fmt="decimal"/>
          <w:cols w:space="0" w:num="1"/>
          <w:rtlGutter w:val="0"/>
          <w:docGrid w:type="lines" w:linePitch="312" w:charSpace="0"/>
        </w:sectPr>
      </w:pPr>
    </w:p>
    <w:p w14:paraId="0985EF29">
      <w:pPr>
        <w:spacing w:line="240" w:lineRule="auto"/>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昌江区深化集体林权制度改革实施细则</w:t>
      </w:r>
    </w:p>
    <w:p w14:paraId="7944D743">
      <w:pPr>
        <w:pStyle w:val="2"/>
        <w:rPr>
          <w:rFonts w:hint="eastAsia"/>
          <w:lang w:val="en-US" w:eastAsia="zh-CN"/>
        </w:rPr>
      </w:pPr>
    </w:p>
    <w:p w14:paraId="7E08C29D">
      <w:pPr>
        <w:spacing w:line="240" w:lineRule="auto"/>
        <w:jc w:val="both"/>
        <w:rPr>
          <w:rFonts w:hint="eastAsia" w:ascii="仿宋_GB2312" w:hAnsi="仿宋_GB2312" w:cs="仿宋_GB2312"/>
          <w:szCs w:val="32"/>
        </w:rPr>
      </w:pPr>
      <w:r>
        <w:rPr>
          <w:rFonts w:hint="eastAsia" w:ascii="仿宋_GB2312" w:hAnsi="仿宋_GB2312" w:cs="仿宋_GB2312"/>
          <w:szCs w:val="32"/>
        </w:rPr>
        <w:t>为加快推进深化集体林权制度改革建设，</w:t>
      </w:r>
      <w:r>
        <w:rPr>
          <w:rFonts w:hint="eastAsia" w:ascii="仿宋_GB2312" w:hAnsi="仿宋_GB2312" w:cs="仿宋_GB2312"/>
          <w:szCs w:val="32"/>
          <w:lang w:val="en-US" w:eastAsia="zh-CN"/>
        </w:rPr>
        <w:t>根据</w:t>
      </w:r>
      <w:r>
        <w:rPr>
          <w:rFonts w:hint="eastAsia" w:ascii="仿宋_GB2312" w:hAnsi="仿宋_GB2312" w:cs="仿宋_GB2312"/>
          <w:szCs w:val="32"/>
        </w:rPr>
        <w:t>《江西省深化集体林权制度改革先行区建设方案》</w:t>
      </w:r>
      <w:r>
        <w:rPr>
          <w:rFonts w:hint="eastAsia" w:ascii="仿宋_GB2312" w:hAnsi="仿宋_GB2312" w:cs="仿宋_GB2312"/>
          <w:szCs w:val="32"/>
          <w:lang w:eastAsia="zh-CN"/>
        </w:rPr>
        <w:t>，</w:t>
      </w:r>
      <w:r>
        <w:rPr>
          <w:rFonts w:hint="eastAsia" w:ascii="仿宋_GB2312" w:hAnsi="仿宋_GB2312" w:cs="仿宋_GB2312"/>
          <w:szCs w:val="32"/>
        </w:rPr>
        <w:t>结合</w:t>
      </w:r>
      <w:r>
        <w:rPr>
          <w:rFonts w:hint="eastAsia" w:ascii="仿宋_GB2312" w:hAnsi="仿宋_GB2312" w:cs="仿宋_GB2312"/>
          <w:szCs w:val="32"/>
          <w:lang w:eastAsia="zh-CN"/>
        </w:rPr>
        <w:t>昌江</w:t>
      </w:r>
      <w:r>
        <w:rPr>
          <w:rFonts w:hint="eastAsia" w:ascii="仿宋_GB2312" w:hAnsi="仿宋_GB2312" w:cs="仿宋_GB2312"/>
          <w:szCs w:val="32"/>
        </w:rPr>
        <w:t>实际，制定实施细则如下：</w:t>
      </w:r>
    </w:p>
    <w:p w14:paraId="685E3430">
      <w:pPr>
        <w:spacing w:line="240" w:lineRule="auto"/>
        <w:ind w:firstLine="640" w:firstLineChars="200"/>
        <w:jc w:val="both"/>
        <w:rPr>
          <w:rFonts w:hint="eastAsia" w:ascii="黑体" w:hAnsi="黑体" w:eastAsia="黑体" w:cs="Times New Roman"/>
        </w:rPr>
      </w:pPr>
      <w:r>
        <w:rPr>
          <w:rFonts w:hint="eastAsia" w:ascii="黑体" w:hAnsi="黑体" w:eastAsia="黑体" w:cs="Times New Roman"/>
        </w:rPr>
        <w:t>一、深化集体林地所有权、承包权、经营权“三权分置”</w:t>
      </w:r>
    </w:p>
    <w:p w14:paraId="0E80C32C">
      <w:pPr>
        <w:spacing w:line="240" w:lineRule="auto"/>
        <w:ind w:firstLine="622" w:firstLineChars="0"/>
        <w:jc w:val="both"/>
        <w:rPr>
          <w:rFonts w:hint="eastAsia" w:ascii="楷体_GB2312" w:hAnsi="楷体_GB2312" w:eastAsia="楷体_GB2312" w:cs="楷体_GB2312"/>
          <w:b/>
          <w:bCs/>
          <w:szCs w:val="22"/>
        </w:rPr>
      </w:pPr>
      <w:r>
        <w:rPr>
          <w:rFonts w:hint="eastAsia" w:ascii="楷体_GB2312" w:hAnsi="楷体_GB2312" w:eastAsia="楷体_GB2312" w:cs="楷体_GB2312"/>
          <w:b/>
          <w:bCs/>
          <w:szCs w:val="22"/>
          <w:lang w:eastAsia="zh-CN"/>
        </w:rPr>
        <w:t>（</w:t>
      </w:r>
      <w:r>
        <w:rPr>
          <w:rFonts w:hint="eastAsia" w:ascii="楷体_GB2312" w:hAnsi="楷体_GB2312" w:eastAsia="楷体_GB2312" w:cs="楷体_GB2312"/>
          <w:b/>
          <w:bCs/>
          <w:szCs w:val="22"/>
          <w:lang w:val="en-US" w:eastAsia="zh-CN"/>
        </w:rPr>
        <w:t>一</w:t>
      </w:r>
      <w:r>
        <w:rPr>
          <w:rFonts w:hint="eastAsia" w:ascii="楷体_GB2312" w:hAnsi="楷体_GB2312" w:eastAsia="楷体_GB2312" w:cs="楷体_GB2312"/>
          <w:b/>
          <w:bCs/>
          <w:szCs w:val="22"/>
          <w:lang w:eastAsia="zh-CN"/>
        </w:rPr>
        <w:t>）</w:t>
      </w:r>
      <w:r>
        <w:rPr>
          <w:rFonts w:hint="eastAsia" w:ascii="楷体_GB2312" w:hAnsi="楷体_GB2312" w:eastAsia="楷体_GB2312" w:cs="楷体_GB2312"/>
          <w:b/>
          <w:bCs/>
          <w:szCs w:val="22"/>
        </w:rPr>
        <w:t>规范集体林地承包经营</w:t>
      </w:r>
    </w:p>
    <w:p w14:paraId="70CA2D98">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val="en-US" w:eastAsia="zh-CN"/>
        </w:rPr>
        <w:t>1.</w:t>
      </w:r>
      <w:r>
        <w:rPr>
          <w:rFonts w:hint="eastAsia" w:ascii="仿宋_GB2312" w:hAnsi="仿宋_GB2312" w:cs="仿宋_GB2312"/>
          <w:szCs w:val="32"/>
        </w:rPr>
        <w:t>落实所有权，坚持集体林地所有权不变。</w:t>
      </w:r>
      <w:r>
        <w:rPr>
          <w:rFonts w:hint="eastAsia" w:ascii="仿宋_GB2312" w:hAnsi="仿宋_GB2312" w:cs="仿宋_GB2312"/>
          <w:b/>
          <w:bCs/>
          <w:szCs w:val="32"/>
          <w:lang w:eastAsia="zh-CN"/>
        </w:rPr>
        <w:t>（</w:t>
      </w:r>
      <w:r>
        <w:rPr>
          <w:rFonts w:hint="eastAsia" w:ascii="仿宋_GB2312" w:hAnsi="仿宋_GB2312" w:cs="仿宋_GB2312"/>
          <w:b/>
          <w:bCs/>
          <w:szCs w:val="32"/>
        </w:rPr>
        <w:t>责任单位：各乡镇</w:t>
      </w:r>
      <w:r>
        <w:rPr>
          <w:rFonts w:hint="eastAsia" w:ascii="仿宋_GB2312" w:hAnsi="仿宋_GB2312" w:cs="仿宋_GB2312"/>
          <w:b/>
          <w:bCs/>
          <w:szCs w:val="32"/>
          <w:lang w:eastAsia="zh-CN"/>
        </w:rPr>
        <w:t>（街道）</w:t>
      </w:r>
      <w:r>
        <w:rPr>
          <w:rFonts w:hint="eastAsia" w:ascii="仿宋_GB2312" w:hAnsi="仿宋_GB2312" w:cs="仿宋_GB2312"/>
          <w:b/>
          <w:bCs/>
          <w:szCs w:val="32"/>
        </w:rPr>
        <w:t>，</w:t>
      </w:r>
      <w:r>
        <w:rPr>
          <w:rFonts w:hint="eastAsia" w:ascii="仿宋_GB2312" w:hAnsi="仿宋_GB2312" w:cs="仿宋_GB2312"/>
          <w:b/>
          <w:bCs/>
          <w:szCs w:val="32"/>
          <w:lang w:val="en-US" w:eastAsia="zh-CN"/>
        </w:rPr>
        <w:t>持续推进</w:t>
      </w:r>
      <w:r>
        <w:rPr>
          <w:rFonts w:hint="eastAsia" w:ascii="仿宋_GB2312" w:hAnsi="仿宋_GB2312" w:cs="仿宋_GB2312"/>
          <w:b/>
          <w:bCs/>
          <w:szCs w:val="32"/>
          <w:lang w:eastAsia="zh-CN"/>
        </w:rPr>
        <w:t>）</w:t>
      </w:r>
    </w:p>
    <w:p w14:paraId="308B8BEF">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val="en-US" w:eastAsia="zh-CN"/>
        </w:rPr>
        <w:t>2.</w:t>
      </w:r>
      <w:r>
        <w:rPr>
          <w:rFonts w:hint="eastAsia" w:ascii="仿宋_GB2312" w:hAnsi="仿宋_GB2312" w:cs="仿宋_GB2312"/>
          <w:szCs w:val="32"/>
        </w:rPr>
        <w:t>稳定承包权，保持集体林地承包关系稳定并长久不变。承包期届满时应坚持延包原则，不得打乱重分，确保绝大多数农户原有承包林地稳定经营。家庭承包林地剩余期限12年以内的</w:t>
      </w:r>
      <w:r>
        <w:rPr>
          <w:rFonts w:hint="eastAsia" w:ascii="仿宋_GB2312" w:hAnsi="仿宋_GB2312" w:cs="仿宋_GB2312"/>
          <w:szCs w:val="32"/>
          <w:lang w:eastAsia="zh-CN"/>
        </w:rPr>
        <w:t>，</w:t>
      </w:r>
      <w:r>
        <w:rPr>
          <w:rFonts w:hint="eastAsia" w:ascii="仿宋_GB2312" w:hAnsi="仿宋_GB2312" w:cs="仿宋_GB2312"/>
          <w:szCs w:val="32"/>
        </w:rPr>
        <w:t>发包方可依法提前确认延包合同。全</w:t>
      </w:r>
      <w:r>
        <w:rPr>
          <w:rFonts w:hint="eastAsia" w:ascii="仿宋_GB2312" w:hAnsi="仿宋_GB2312" w:cs="仿宋_GB2312"/>
          <w:szCs w:val="32"/>
          <w:lang w:eastAsia="zh-CN"/>
        </w:rPr>
        <w:t>区</w:t>
      </w:r>
      <w:r>
        <w:rPr>
          <w:rFonts w:hint="eastAsia" w:ascii="仿宋_GB2312" w:hAnsi="仿宋_GB2312" w:cs="仿宋_GB2312"/>
          <w:szCs w:val="32"/>
        </w:rPr>
        <w:t>范围内集体林地承包经营期限可以从到期日开始延长30年。林地承包人在承包期内自愿退出或死亡无合法继承人的</w:t>
      </w:r>
      <w:r>
        <w:rPr>
          <w:rFonts w:hint="eastAsia" w:ascii="仿宋_GB2312" w:hAnsi="仿宋_GB2312" w:cs="仿宋_GB2312"/>
          <w:szCs w:val="32"/>
          <w:lang w:eastAsia="zh-CN"/>
        </w:rPr>
        <w:t>，</w:t>
      </w:r>
      <w:r>
        <w:rPr>
          <w:rFonts w:hint="eastAsia" w:ascii="仿宋_GB2312" w:hAnsi="仿宋_GB2312" w:cs="仿宋_GB2312"/>
          <w:szCs w:val="32"/>
        </w:rPr>
        <w:t>承包林地由集体经济组织收回。</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区林业局、市自然资源和规划</w:t>
      </w:r>
      <w:r>
        <w:rPr>
          <w:rFonts w:hint="eastAsia" w:ascii="仿宋_GB2312" w:hAnsi="仿宋_GB2312" w:cs="仿宋_GB2312"/>
          <w:b/>
          <w:bCs/>
          <w:szCs w:val="32"/>
        </w:rPr>
        <w:t>局</w:t>
      </w:r>
      <w:r>
        <w:rPr>
          <w:rFonts w:hint="eastAsia" w:ascii="仿宋_GB2312" w:hAnsi="仿宋_GB2312" w:cs="仿宋_GB2312"/>
          <w:b/>
          <w:bCs/>
          <w:szCs w:val="32"/>
          <w:lang w:eastAsia="zh-CN"/>
        </w:rPr>
        <w:t>昌江分局</w:t>
      </w:r>
      <w:r>
        <w:rPr>
          <w:rFonts w:hint="eastAsia" w:ascii="仿宋_GB2312" w:hAnsi="仿宋_GB2312" w:cs="仿宋_GB2312"/>
          <w:b/>
          <w:bCs/>
          <w:szCs w:val="32"/>
        </w:rPr>
        <w:t>、各乡镇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r>
        <w:rPr>
          <w:rFonts w:hint="eastAsia" w:ascii="仿宋_GB2312" w:hAnsi="仿宋_GB2312" w:cs="仿宋_GB2312"/>
          <w:b/>
          <w:bCs/>
          <w:szCs w:val="32"/>
          <w:lang w:eastAsia="zh-CN"/>
        </w:rPr>
        <w:t>）</w:t>
      </w:r>
    </w:p>
    <w:p w14:paraId="40722BA2">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3.</w:t>
      </w:r>
      <w:r>
        <w:rPr>
          <w:rFonts w:hint="eastAsia" w:ascii="仿宋_GB2312" w:hAnsi="仿宋_GB2312" w:cs="仿宋_GB2312"/>
          <w:szCs w:val="32"/>
        </w:rPr>
        <w:t>放活经营权，制定出台我</w:t>
      </w:r>
      <w:r>
        <w:rPr>
          <w:rFonts w:hint="eastAsia" w:ascii="仿宋_GB2312" w:hAnsi="仿宋_GB2312" w:cs="仿宋_GB2312"/>
          <w:szCs w:val="32"/>
          <w:lang w:eastAsia="zh-CN"/>
        </w:rPr>
        <w:t>区</w:t>
      </w:r>
      <w:r>
        <w:rPr>
          <w:rFonts w:hint="eastAsia" w:ascii="仿宋_GB2312" w:hAnsi="仿宋_GB2312" w:cs="仿宋_GB2312"/>
          <w:szCs w:val="32"/>
        </w:rPr>
        <w:t>林业经营收益权登记管理办法，林业经营收益权证经</w:t>
      </w:r>
      <w:r>
        <w:rPr>
          <w:rFonts w:hint="eastAsia" w:ascii="仿宋_GB2312" w:hAnsi="仿宋_GB2312" w:cs="仿宋_GB2312"/>
          <w:szCs w:val="32"/>
          <w:lang w:eastAsia="zh-CN"/>
        </w:rPr>
        <w:t>区</w:t>
      </w:r>
      <w:r>
        <w:rPr>
          <w:rFonts w:hint="eastAsia" w:ascii="仿宋_GB2312" w:hAnsi="仿宋_GB2312" w:cs="仿宋_GB2312"/>
          <w:szCs w:val="32"/>
        </w:rPr>
        <w:t>林业局审核、市自然资源和规划局昌江分局备案，由</w:t>
      </w:r>
      <w:r>
        <w:rPr>
          <w:rFonts w:hint="eastAsia" w:ascii="仿宋_GB2312" w:hAnsi="仿宋_GB2312" w:cs="仿宋_GB2312"/>
          <w:szCs w:val="32"/>
          <w:lang w:eastAsia="zh-CN"/>
        </w:rPr>
        <w:t>昌江区</w:t>
      </w:r>
      <w:r>
        <w:rPr>
          <w:rFonts w:hint="eastAsia" w:ascii="仿宋_GB2312" w:hAnsi="仿宋_GB2312" w:cs="仿宋_GB2312"/>
          <w:szCs w:val="32"/>
        </w:rPr>
        <w:t>人民政府负责核发。经营主体在本</w:t>
      </w:r>
      <w:r>
        <w:rPr>
          <w:rFonts w:hint="eastAsia" w:ascii="仿宋_GB2312" w:hAnsi="仿宋_GB2312" w:cs="仿宋_GB2312"/>
          <w:szCs w:val="32"/>
          <w:lang w:eastAsia="zh-CN"/>
        </w:rPr>
        <w:t>区</w:t>
      </w:r>
      <w:r>
        <w:rPr>
          <w:rFonts w:hint="eastAsia" w:ascii="仿宋_GB2312" w:hAnsi="仿宋_GB2312" w:cs="仿宋_GB2312"/>
          <w:szCs w:val="32"/>
        </w:rPr>
        <w:t>范围内可凭林业经营收益权证办理流转交易、质押贷款、项目申报、示范评审和林业资产证明等事项。</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林业局、金融机构、各乡镇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r>
        <w:rPr>
          <w:rFonts w:hint="eastAsia" w:ascii="仿宋_GB2312" w:hAnsi="仿宋_GB2312" w:cs="仿宋_GB2312"/>
          <w:b/>
          <w:bCs/>
          <w:szCs w:val="32"/>
          <w:lang w:eastAsia="zh-CN"/>
        </w:rPr>
        <w:t>）</w:t>
      </w:r>
    </w:p>
    <w:p w14:paraId="521431FB">
      <w:pPr>
        <w:spacing w:line="240" w:lineRule="auto"/>
        <w:ind w:firstLine="622" w:firstLineChars="0"/>
        <w:jc w:val="both"/>
        <w:rPr>
          <w:rFonts w:hint="eastAsia" w:ascii="楷体_GB2312" w:hAnsi="楷体_GB2312" w:eastAsia="楷体_GB2312" w:cs="楷体_GB2312"/>
          <w:b/>
          <w:bCs/>
          <w:szCs w:val="22"/>
          <w:lang w:eastAsia="zh-CN"/>
        </w:rPr>
      </w:pPr>
      <w:r>
        <w:rPr>
          <w:rFonts w:hint="eastAsia" w:ascii="楷体_GB2312" w:hAnsi="楷体_GB2312" w:eastAsia="楷体_GB2312" w:cs="楷体_GB2312"/>
          <w:b/>
          <w:bCs/>
          <w:szCs w:val="22"/>
          <w:lang w:eastAsia="zh-CN"/>
        </w:rPr>
        <w:t>（</w:t>
      </w:r>
      <w:r>
        <w:rPr>
          <w:rFonts w:hint="eastAsia" w:ascii="楷体_GB2312" w:hAnsi="楷体_GB2312" w:eastAsia="楷体_GB2312" w:cs="楷体_GB2312"/>
          <w:b/>
          <w:bCs/>
          <w:szCs w:val="22"/>
          <w:lang w:val="en-US" w:eastAsia="zh-CN"/>
        </w:rPr>
        <w:t>二</w:t>
      </w:r>
      <w:r>
        <w:rPr>
          <w:rFonts w:hint="eastAsia" w:ascii="楷体_GB2312" w:hAnsi="楷体_GB2312" w:eastAsia="楷体_GB2312" w:cs="楷体_GB2312"/>
          <w:b/>
          <w:bCs/>
          <w:szCs w:val="22"/>
          <w:lang w:eastAsia="zh-CN"/>
        </w:rPr>
        <w:t>）推进林权流转</w:t>
      </w:r>
    </w:p>
    <w:p w14:paraId="1F6BCF69">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1.</w:t>
      </w:r>
      <w:r>
        <w:rPr>
          <w:rFonts w:hint="eastAsia" w:ascii="仿宋_GB2312" w:hAnsi="仿宋_GB2312" w:cs="仿宋_GB2312"/>
          <w:szCs w:val="32"/>
        </w:rPr>
        <w:t>引导和支持社会资本“进山入林”，鼓励工商企业、林业经营联合体、经营大户等社会资本参与林权流转；鼓励村集体经济组织集中流转农户林地经营权</w:t>
      </w:r>
      <w:r>
        <w:rPr>
          <w:rFonts w:hint="eastAsia" w:ascii="仿宋_GB2312" w:hAnsi="仿宋_GB2312" w:cs="仿宋_GB2312"/>
          <w:szCs w:val="32"/>
          <w:lang w:eastAsia="zh-CN"/>
        </w:rPr>
        <w:t>，</w:t>
      </w:r>
      <w:r>
        <w:rPr>
          <w:rFonts w:hint="eastAsia" w:ascii="仿宋_GB2312" w:hAnsi="仿宋_GB2312" w:cs="仿宋_GB2312"/>
          <w:szCs w:val="32"/>
        </w:rPr>
        <w:t>通过再发包、再出租等方式</w:t>
      </w:r>
      <w:r>
        <w:rPr>
          <w:rFonts w:hint="eastAsia" w:ascii="仿宋_GB2312" w:hAnsi="仿宋_GB2312" w:cs="仿宋_GB2312"/>
          <w:szCs w:val="32"/>
          <w:lang w:eastAsia="zh-CN"/>
        </w:rPr>
        <w:t>，</w:t>
      </w:r>
      <w:r>
        <w:rPr>
          <w:rFonts w:hint="eastAsia" w:ascii="仿宋_GB2312" w:hAnsi="仿宋_GB2312" w:cs="仿宋_GB2312"/>
          <w:szCs w:val="32"/>
        </w:rPr>
        <w:t>增加集体经营性收入。</w:t>
      </w:r>
      <w:r>
        <w:rPr>
          <w:rFonts w:hint="eastAsia" w:ascii="仿宋_GB2312" w:hAnsi="仿宋_GB2312" w:cs="仿宋_GB2312"/>
          <w:b/>
          <w:bCs/>
          <w:szCs w:val="32"/>
        </w:rPr>
        <w:t>（责任单位：各乡镇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p>
    <w:p w14:paraId="1C561C2A">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szCs w:val="32"/>
        </w:rPr>
        <w:t>加强对林权流转的审核和服务，将林地承包经营合同信息录入林权综合监管系统，为林权流转提供信息查验。</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市自然资源和规划</w:t>
      </w:r>
      <w:r>
        <w:rPr>
          <w:rFonts w:hint="eastAsia" w:ascii="仿宋_GB2312" w:hAnsi="仿宋_GB2312" w:cs="仿宋_GB2312"/>
          <w:b/>
          <w:bCs/>
          <w:szCs w:val="32"/>
        </w:rPr>
        <w:t>局</w:t>
      </w:r>
      <w:r>
        <w:rPr>
          <w:rFonts w:hint="eastAsia" w:ascii="仿宋_GB2312" w:hAnsi="仿宋_GB2312" w:cs="仿宋_GB2312"/>
          <w:b/>
          <w:bCs/>
          <w:szCs w:val="32"/>
          <w:lang w:eastAsia="zh-CN"/>
        </w:rPr>
        <w:t>昌江分局</w:t>
      </w:r>
      <w:r>
        <w:rPr>
          <w:rFonts w:hint="eastAsia" w:ascii="仿宋_GB2312" w:hAnsi="仿宋_GB2312" w:cs="仿宋_GB2312"/>
          <w:b/>
          <w:bCs/>
          <w:szCs w:val="32"/>
        </w:rPr>
        <w:t>、各乡镇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r>
        <w:rPr>
          <w:rFonts w:hint="eastAsia" w:ascii="仿宋_GB2312" w:hAnsi="仿宋_GB2312" w:cs="仿宋_GB2312"/>
          <w:b/>
          <w:bCs/>
          <w:szCs w:val="32"/>
          <w:lang w:eastAsia="zh-CN"/>
        </w:rPr>
        <w:t>）</w:t>
      </w:r>
    </w:p>
    <w:p w14:paraId="64366C98">
      <w:pPr>
        <w:spacing w:line="240" w:lineRule="auto"/>
        <w:ind w:firstLine="640" w:firstLineChars="200"/>
        <w:jc w:val="both"/>
        <w:rPr>
          <w:rFonts w:hint="eastAsia" w:ascii="黑体" w:hAnsi="黑体" w:eastAsia="黑体" w:cs="Times New Roman"/>
        </w:rPr>
      </w:pPr>
      <w:r>
        <w:rPr>
          <w:rFonts w:hint="eastAsia" w:ascii="黑体" w:hAnsi="黑体" w:eastAsia="黑体" w:cs="Times New Roman"/>
        </w:rPr>
        <w:t>二、激活集体林发展潜力</w:t>
      </w:r>
    </w:p>
    <w:p w14:paraId="638EDE4D">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（三）发展林业适度规模经营</w:t>
      </w:r>
    </w:p>
    <w:p w14:paraId="139C64A1">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1.</w:t>
      </w:r>
      <w:r>
        <w:rPr>
          <w:rFonts w:hint="eastAsia" w:ascii="仿宋_GB2312" w:hAnsi="仿宋_GB2312" w:cs="仿宋_GB2312"/>
          <w:szCs w:val="32"/>
        </w:rPr>
        <w:t>根据《江西省林地适度规模经营和示范性新型林业经营主体奖补办法》为林业规模经营主体争取林地适度规模经营奖补政策，改善市场主体生产经营条件。</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p>
    <w:p w14:paraId="7BDC327F">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2.</w:t>
      </w:r>
      <w:r>
        <w:rPr>
          <w:rFonts w:hint="eastAsia" w:ascii="仿宋_GB2312" w:hAnsi="仿宋_GB2312" w:cs="仿宋_GB2312"/>
          <w:szCs w:val="32"/>
        </w:rPr>
        <w:t>对仍由村集体经济组织统一经营管理的林地</w:t>
      </w:r>
      <w:r>
        <w:rPr>
          <w:rFonts w:hint="eastAsia" w:ascii="仿宋_GB2312" w:hAnsi="仿宋_GB2312" w:cs="仿宋_GB2312"/>
          <w:szCs w:val="32"/>
          <w:lang w:eastAsia="zh-CN"/>
        </w:rPr>
        <w:t>，</w:t>
      </w:r>
      <w:r>
        <w:rPr>
          <w:rFonts w:hint="eastAsia" w:ascii="仿宋_GB2312" w:hAnsi="仿宋_GB2312" w:cs="仿宋_GB2312"/>
          <w:szCs w:val="32"/>
        </w:rPr>
        <w:t>积极引导创办村集体林场或按照“分股不分山、分利不分林”原则，将集体林地收益权量化到户</w:t>
      </w:r>
      <w:r>
        <w:rPr>
          <w:rFonts w:hint="eastAsia" w:ascii="仿宋_GB2312" w:hAnsi="仿宋_GB2312" w:cs="仿宋_GB2312"/>
          <w:szCs w:val="32"/>
          <w:lang w:eastAsia="zh-CN"/>
        </w:rPr>
        <w:t>，</w:t>
      </w:r>
      <w:r>
        <w:rPr>
          <w:rFonts w:hint="eastAsia" w:ascii="仿宋_GB2312" w:hAnsi="仿宋_GB2312" w:cs="仿宋_GB2312"/>
          <w:szCs w:val="32"/>
        </w:rPr>
        <w:t>收益权证发放到户。</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p>
    <w:p w14:paraId="079DBFA7">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林业专业合作社、林业龙头企业等林业生产经营组织享受与农业生产经营组织同等的财政扶持、金融服务政策。</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农业农村</w:t>
      </w:r>
      <w:r>
        <w:rPr>
          <w:rFonts w:hint="eastAsia" w:ascii="仿宋_GB2312" w:hAnsi="仿宋_GB2312" w:cs="仿宋_GB2312"/>
          <w:b/>
          <w:bCs/>
          <w:szCs w:val="32"/>
          <w:lang w:eastAsia="zh-CN"/>
        </w:rPr>
        <w:t>水利</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财政局、各乡镇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r>
        <w:rPr>
          <w:rFonts w:hint="eastAsia" w:ascii="仿宋_GB2312" w:hAnsi="仿宋_GB2312" w:cs="仿宋_GB2312"/>
          <w:b/>
          <w:bCs/>
          <w:szCs w:val="32"/>
          <w:lang w:eastAsia="zh-CN"/>
        </w:rPr>
        <w:t>）</w:t>
      </w:r>
    </w:p>
    <w:p w14:paraId="71ED796B">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（四）优化林木采伐政策</w:t>
      </w:r>
    </w:p>
    <w:p w14:paraId="41DF0752">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1.</w:t>
      </w:r>
      <w:r>
        <w:rPr>
          <w:rFonts w:hint="eastAsia" w:ascii="仿宋_GB2312" w:hAnsi="仿宋_GB2312" w:cs="仿宋_GB2312"/>
          <w:szCs w:val="32"/>
        </w:rPr>
        <w:t>实行公益林、商品林分类经营管理。</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p>
    <w:p w14:paraId="3B87EB3B">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2.</w:t>
      </w:r>
      <w:r>
        <w:rPr>
          <w:rFonts w:hint="eastAsia" w:ascii="仿宋_GB2312" w:hAnsi="仿宋_GB2312" w:cs="仿宋_GB2312"/>
          <w:szCs w:val="32"/>
        </w:rPr>
        <w:t>实行林木采伐限额5年总额控制政策，取消人工商品林主伐年龄限制。对采伐集体人工商品林蓄积量不足30立方米的或面积小于3亩的，实行告知承诺制审批。</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p>
    <w:p w14:paraId="39563297">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3.</w:t>
      </w:r>
      <w:r>
        <w:rPr>
          <w:rFonts w:hint="eastAsia" w:ascii="仿宋_GB2312" w:hAnsi="仿宋_GB2312" w:cs="仿宋_GB2312"/>
          <w:szCs w:val="32"/>
        </w:rPr>
        <w:t>建立林木采伐信用监管机制。</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p>
    <w:p w14:paraId="4C466EE0">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4.</w:t>
      </w:r>
      <w:r>
        <w:rPr>
          <w:rFonts w:hint="eastAsia" w:ascii="仿宋_GB2312" w:hAnsi="仿宋_GB2312" w:cs="仿宋_GB2312"/>
          <w:szCs w:val="32"/>
        </w:rPr>
        <w:t>将林木采伐限额指标分配、林木采伐许可申请和审批及采伐监管情况纳入政府公开事项目录清单。</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r>
        <w:rPr>
          <w:rFonts w:hint="eastAsia" w:ascii="仿宋_GB2312" w:hAnsi="仿宋_GB2312" w:cs="仿宋_GB2312"/>
          <w:b/>
          <w:bCs/>
          <w:szCs w:val="32"/>
          <w:lang w:eastAsia="zh-CN"/>
        </w:rPr>
        <w:t>）</w:t>
      </w:r>
    </w:p>
    <w:p w14:paraId="3F3F527F">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（五）发挥国有林场联营带动作用</w:t>
      </w:r>
    </w:p>
    <w:p w14:paraId="38125A63">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1.</w:t>
      </w:r>
      <w:r>
        <w:rPr>
          <w:rFonts w:hint="eastAsia" w:ascii="仿宋_GB2312" w:hAnsi="仿宋_GB2312" w:cs="仿宋_GB2312"/>
          <w:szCs w:val="32"/>
        </w:rPr>
        <w:t>盘活农村集体林地资源，推动“国有林+集体林”“国有林场+家庭林场”等共建模式，建立</w:t>
      </w:r>
      <w:r>
        <w:rPr>
          <w:rFonts w:hint="eastAsia" w:ascii="仿宋_GB2312" w:hAnsi="仿宋_GB2312" w:cs="仿宋_GB2312"/>
          <w:szCs w:val="32"/>
          <w:lang w:eastAsia="zh-CN"/>
        </w:rPr>
        <w:t>联营</w:t>
      </w:r>
      <w:r>
        <w:rPr>
          <w:rFonts w:hint="eastAsia" w:ascii="仿宋_GB2312" w:hAnsi="仿宋_GB2312" w:cs="仿宋_GB2312"/>
          <w:szCs w:val="32"/>
        </w:rPr>
        <w:t>合作林场，开展场外造林，提升集体林经营水平，促进村级集体经济发展和林农持续增收。</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国资</w:t>
      </w:r>
      <w:r>
        <w:rPr>
          <w:rFonts w:hint="eastAsia" w:ascii="仿宋_GB2312" w:hAnsi="仿宋_GB2312" w:cs="仿宋_GB2312"/>
          <w:b/>
          <w:bCs/>
          <w:szCs w:val="32"/>
          <w:lang w:eastAsia="zh-CN"/>
        </w:rPr>
        <w:t>公司</w:t>
      </w:r>
      <w:r>
        <w:rPr>
          <w:rFonts w:hint="eastAsia" w:ascii="仿宋_GB2312" w:hAnsi="仿宋_GB2312" w:cs="仿宋_GB2312"/>
          <w:b/>
          <w:bCs/>
          <w:szCs w:val="32"/>
        </w:rPr>
        <w:t>、国有林场、各乡镇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p>
    <w:p w14:paraId="2FEB67F7">
      <w:pPr>
        <w:spacing w:line="240" w:lineRule="auto"/>
        <w:ind w:firstLine="640" w:firstLineChars="200"/>
        <w:jc w:val="both"/>
        <w:rPr>
          <w:rFonts w:hint="default" w:ascii="仿宋_GB2312" w:hAnsi="仿宋_GB2312" w:cs="仿宋_GB2312"/>
          <w:szCs w:val="32"/>
          <w:lang w:val="en-US" w:eastAsia="zh-CN"/>
        </w:rPr>
      </w:pPr>
      <w:r>
        <w:rPr>
          <w:rFonts w:hint="eastAsia" w:ascii="仿宋_GB2312" w:hAnsi="仿宋_GB2312" w:cs="仿宋_GB2312"/>
          <w:szCs w:val="32"/>
          <w:lang w:eastAsia="zh-CN"/>
        </w:rPr>
        <w:t>2.</w:t>
      </w:r>
      <w:r>
        <w:rPr>
          <w:rFonts w:hint="eastAsia" w:ascii="仿宋_GB2312" w:hAnsi="仿宋_GB2312" w:cs="仿宋_GB2312"/>
          <w:szCs w:val="32"/>
        </w:rPr>
        <w:t>对国</w:t>
      </w:r>
      <w:r>
        <w:rPr>
          <w:rFonts w:hint="eastAsia" w:ascii="仿宋_GB2312" w:hAnsi="仿宋_GB2312" w:cs="仿宋_GB2312"/>
          <w:szCs w:val="32"/>
          <w:lang w:val="en-US" w:eastAsia="zh-CN"/>
        </w:rPr>
        <w:t>村</w:t>
      </w:r>
      <w:r>
        <w:rPr>
          <w:rFonts w:hint="eastAsia" w:ascii="仿宋_GB2312" w:hAnsi="仿宋_GB2312" w:cs="仿宋_GB2312"/>
          <w:szCs w:val="32"/>
        </w:rPr>
        <w:t>联营即将到期的林地，各乡镇政府结合实际组织续签联营合同，保持国有林场经营的持续稳定。</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林业局、国有林场、各乡镇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r>
        <w:rPr>
          <w:rFonts w:hint="eastAsia" w:ascii="仿宋_GB2312" w:hAnsi="仿宋_GB2312" w:cs="仿宋_GB2312"/>
          <w:b/>
          <w:bCs/>
          <w:szCs w:val="32"/>
          <w:lang w:eastAsia="zh-CN"/>
        </w:rPr>
        <w:t>）</w:t>
      </w:r>
    </w:p>
    <w:p w14:paraId="08C37CD7">
      <w:pPr>
        <w:spacing w:line="240" w:lineRule="auto"/>
        <w:ind w:firstLine="640" w:firstLineChars="200"/>
        <w:jc w:val="both"/>
        <w:rPr>
          <w:rFonts w:hint="eastAsia" w:ascii="黑体" w:hAnsi="黑体" w:eastAsia="黑体" w:cs="Times New Roman"/>
        </w:rPr>
      </w:pPr>
      <w:r>
        <w:rPr>
          <w:rFonts w:hint="eastAsia" w:ascii="黑体" w:hAnsi="黑体" w:eastAsia="黑体" w:cs="Times New Roman"/>
        </w:rPr>
        <w:t>三、推进森林可持续经营</w:t>
      </w:r>
    </w:p>
    <w:p w14:paraId="42C2C36A">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（六）科学划定公益林和天然林范围</w:t>
      </w:r>
    </w:p>
    <w:p w14:paraId="78CC9C12">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rPr>
        <w:t>立足</w:t>
      </w:r>
      <w:r>
        <w:rPr>
          <w:rFonts w:hint="eastAsia" w:ascii="仿宋_GB2312" w:hAnsi="仿宋_GB2312" w:cs="仿宋_GB2312"/>
          <w:szCs w:val="32"/>
          <w:lang w:eastAsia="zh-CN"/>
        </w:rPr>
        <w:t>昌江</w:t>
      </w:r>
      <w:r>
        <w:rPr>
          <w:rFonts w:hint="eastAsia" w:ascii="仿宋_GB2312" w:hAnsi="仿宋_GB2312" w:cs="仿宋_GB2312"/>
          <w:szCs w:val="32"/>
        </w:rPr>
        <w:t>实际，优化国家级和省级公益林区划，逐步将森林生态区位不重要或生态状况不脆弱的集体林地依法依规调出公益林范围，解决林农发展与生态保护的矛盾。开展天然林精准落界和近自然经营，推动天然林与公益林并轨管理。</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r>
        <w:rPr>
          <w:rFonts w:hint="eastAsia" w:ascii="仿宋_GB2312" w:hAnsi="仿宋_GB2312" w:cs="仿宋_GB2312"/>
          <w:b/>
          <w:bCs/>
          <w:szCs w:val="32"/>
          <w:lang w:eastAsia="zh-CN"/>
        </w:rPr>
        <w:t>）</w:t>
      </w:r>
    </w:p>
    <w:p w14:paraId="68E50772">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（七）创新森林经营管理制度</w:t>
      </w:r>
    </w:p>
    <w:p w14:paraId="6D237B12">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1.</w:t>
      </w:r>
      <w:r>
        <w:rPr>
          <w:rFonts w:hint="eastAsia" w:ascii="仿宋_GB2312" w:hAnsi="仿宋_GB2312" w:cs="仿宋_GB2312"/>
          <w:szCs w:val="32"/>
        </w:rPr>
        <w:t>将森林经营方案作为森林</w:t>
      </w:r>
      <w:r>
        <w:rPr>
          <w:rFonts w:hint="eastAsia" w:ascii="仿宋_GB2312" w:hAnsi="仿宋_GB2312" w:cs="仿宋_GB2312"/>
          <w:szCs w:val="32"/>
          <w:lang w:val="en-US" w:eastAsia="zh-CN"/>
        </w:rPr>
        <w:t>经营主体</w:t>
      </w:r>
      <w:r>
        <w:rPr>
          <w:rFonts w:hint="eastAsia" w:ascii="仿宋_GB2312" w:hAnsi="仿宋_GB2312" w:cs="仿宋_GB2312"/>
          <w:szCs w:val="32"/>
        </w:rPr>
        <w:t>可持续经营、安排林业项目</w:t>
      </w:r>
      <w:r>
        <w:rPr>
          <w:rFonts w:hint="eastAsia" w:ascii="仿宋_GB2312" w:hAnsi="仿宋_GB2312" w:cs="仿宋_GB2312"/>
          <w:szCs w:val="32"/>
          <w:lang w:eastAsia="zh-CN"/>
        </w:rPr>
        <w:t>、</w:t>
      </w:r>
      <w:r>
        <w:rPr>
          <w:rFonts w:hint="eastAsia" w:ascii="仿宋_GB2312" w:hAnsi="仿宋_GB2312" w:cs="仿宋_GB2312"/>
          <w:szCs w:val="32"/>
          <w:lang w:val="en-US" w:eastAsia="zh-CN"/>
        </w:rPr>
        <w:t>采伐</w:t>
      </w:r>
      <w:r>
        <w:rPr>
          <w:rFonts w:hint="eastAsia" w:ascii="仿宋_GB2312" w:hAnsi="仿宋_GB2312" w:cs="仿宋_GB2312"/>
          <w:szCs w:val="32"/>
        </w:rPr>
        <w:t>等行政管理事项的重要依据。</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发改委、各乡镇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1DF026B2">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2.</w:t>
      </w:r>
      <w:r>
        <w:rPr>
          <w:rFonts w:hint="eastAsia" w:ascii="仿宋_GB2312" w:hAnsi="仿宋_GB2312" w:cs="仿宋_GB2312"/>
          <w:szCs w:val="32"/>
        </w:rPr>
        <w:t>支持林地经营面积3000亩以下的经营主体编制简明森林经营方案。</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18DF73AF">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eastAsia="zh-CN"/>
        </w:rPr>
        <w:t>3.</w:t>
      </w:r>
      <w:r>
        <w:rPr>
          <w:rFonts w:hint="eastAsia" w:ascii="仿宋_GB2312" w:hAnsi="仿宋_GB2312" w:cs="仿宋_GB2312"/>
          <w:szCs w:val="32"/>
        </w:rPr>
        <w:t>积极争取森林可持续经营省级试点，适度扩大集体林试点范围。</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4ED6A41B">
      <w:pPr>
        <w:spacing w:line="240" w:lineRule="auto"/>
        <w:ind w:firstLine="640" w:firstLineChars="200"/>
        <w:jc w:val="both"/>
        <w:rPr>
          <w:rFonts w:hint="eastAsia" w:ascii="黑体" w:hAnsi="黑体" w:eastAsia="黑体" w:cs="Times New Roman"/>
        </w:rPr>
      </w:pPr>
      <w:r>
        <w:rPr>
          <w:rFonts w:hint="eastAsia" w:ascii="黑体" w:hAnsi="黑体" w:eastAsia="黑体" w:cs="Times New Roman"/>
        </w:rPr>
        <w:t>四、发展现代林业产业</w:t>
      </w:r>
    </w:p>
    <w:p w14:paraId="2DAC4BDC">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（八）发展林下经济</w:t>
      </w:r>
    </w:p>
    <w:p w14:paraId="6B545E46">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eastAsia="zh-CN"/>
        </w:rPr>
        <w:t>1.</w:t>
      </w:r>
      <w:r>
        <w:rPr>
          <w:rFonts w:hint="eastAsia" w:ascii="仿宋_GB2312" w:hAnsi="仿宋_GB2312" w:cs="仿宋_GB2312"/>
          <w:szCs w:val="32"/>
        </w:rPr>
        <w:t>推进油茶资源扩面提质，建立油茶服务中心，打造高产油茶示范基地</w:t>
      </w:r>
      <w:r>
        <w:rPr>
          <w:rFonts w:hint="eastAsia" w:ascii="仿宋_GB2312" w:hAnsi="仿宋_GB2312" w:cs="仿宋_GB2312"/>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农业农村</w:t>
      </w:r>
      <w:r>
        <w:rPr>
          <w:rFonts w:hint="eastAsia" w:ascii="仿宋_GB2312" w:hAnsi="仿宋_GB2312" w:cs="仿宋_GB2312"/>
          <w:b/>
          <w:bCs/>
          <w:szCs w:val="32"/>
          <w:lang w:eastAsia="zh-CN"/>
        </w:rPr>
        <w:t>水利</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商务局、</w:t>
      </w:r>
      <w:r>
        <w:rPr>
          <w:rFonts w:hint="eastAsia" w:ascii="仿宋_GB2312" w:hAnsi="仿宋_GB2312" w:cs="仿宋_GB2312"/>
          <w:b/>
          <w:bCs/>
          <w:szCs w:val="32"/>
          <w:lang w:eastAsia="zh-CN"/>
        </w:rPr>
        <w:t>区</w:t>
      </w:r>
      <w:r>
        <w:rPr>
          <w:rFonts w:hint="eastAsia" w:ascii="仿宋_GB2312" w:hAnsi="仿宋_GB2312" w:cs="仿宋_GB2312"/>
          <w:b/>
          <w:bCs/>
          <w:szCs w:val="32"/>
        </w:rPr>
        <w:t>市监局、各乡镇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0A7CFD55">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val="en-US" w:eastAsia="zh-CN"/>
        </w:rPr>
        <w:t>2.</w:t>
      </w:r>
      <w:r>
        <w:rPr>
          <w:rFonts w:hint="eastAsia" w:ascii="仿宋_GB2312" w:hAnsi="仿宋_GB2312" w:cs="仿宋_GB2312"/>
          <w:szCs w:val="32"/>
        </w:rPr>
        <w:t>引进林业龙头企业进驻，做大做强</w:t>
      </w:r>
      <w:r>
        <w:rPr>
          <w:rFonts w:hint="eastAsia" w:ascii="仿宋_GB2312" w:hAnsi="仿宋_GB2312" w:cs="仿宋_GB2312"/>
          <w:szCs w:val="32"/>
          <w:lang w:eastAsia="zh-CN"/>
        </w:rPr>
        <w:t>桔产业、蛇产业、油茶产业等</w:t>
      </w:r>
      <w:r>
        <w:rPr>
          <w:rFonts w:hint="eastAsia" w:ascii="仿宋_GB2312" w:hAnsi="仿宋_GB2312" w:cs="仿宋_GB2312"/>
          <w:szCs w:val="32"/>
        </w:rPr>
        <w:t>，支持林业企业申报地理标志产品，建立森林生态产品标志管理和产品追溯体系。</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农业农村</w:t>
      </w:r>
      <w:r>
        <w:rPr>
          <w:rFonts w:hint="eastAsia" w:ascii="仿宋_GB2312" w:hAnsi="仿宋_GB2312" w:cs="仿宋_GB2312"/>
          <w:b/>
          <w:bCs/>
          <w:szCs w:val="32"/>
          <w:lang w:eastAsia="zh-CN"/>
        </w:rPr>
        <w:t>水利</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商务局、</w:t>
      </w:r>
      <w:r>
        <w:rPr>
          <w:rFonts w:hint="eastAsia" w:ascii="仿宋_GB2312" w:hAnsi="仿宋_GB2312" w:cs="仿宋_GB2312"/>
          <w:b/>
          <w:bCs/>
          <w:szCs w:val="32"/>
          <w:lang w:eastAsia="zh-CN"/>
        </w:rPr>
        <w:t>区</w:t>
      </w:r>
      <w:r>
        <w:rPr>
          <w:rFonts w:hint="eastAsia" w:ascii="仿宋_GB2312" w:hAnsi="仿宋_GB2312" w:cs="仿宋_GB2312"/>
          <w:b/>
          <w:bCs/>
          <w:szCs w:val="32"/>
        </w:rPr>
        <w:t>市监局、各乡镇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7B337830">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利用公益林、天然林的林下资源、林间空地、林缘林地等大力发展黄精、</w:t>
      </w:r>
      <w:r>
        <w:rPr>
          <w:rFonts w:hint="eastAsia" w:ascii="仿宋_GB2312" w:hAnsi="仿宋_GB2312" w:cs="仿宋_GB2312"/>
          <w:szCs w:val="32"/>
          <w:lang w:eastAsia="zh-CN"/>
        </w:rPr>
        <w:t>竹产业</w:t>
      </w:r>
      <w:r>
        <w:rPr>
          <w:rFonts w:hint="eastAsia" w:ascii="仿宋_GB2312" w:hAnsi="仿宋_GB2312" w:cs="仿宋_GB2312"/>
          <w:szCs w:val="32"/>
        </w:rPr>
        <w:t>、</w:t>
      </w:r>
      <w:r>
        <w:rPr>
          <w:rFonts w:hint="eastAsia" w:ascii="仿宋_GB2312" w:hAnsi="仿宋_GB2312" w:cs="仿宋_GB2312"/>
          <w:szCs w:val="32"/>
          <w:lang w:eastAsia="zh-CN"/>
        </w:rPr>
        <w:t>中草药</w:t>
      </w:r>
      <w:r>
        <w:rPr>
          <w:rFonts w:hint="eastAsia" w:ascii="仿宋_GB2312" w:hAnsi="仿宋_GB2312" w:cs="仿宋_GB2312"/>
          <w:szCs w:val="32"/>
        </w:rPr>
        <w:t>等林下经济，培育生态旅游、森林康养等新业态。强化部门协作，健全林下经济产业联农带农富农机制。</w:t>
      </w:r>
      <w:r>
        <w:rPr>
          <w:rFonts w:hint="eastAsia" w:ascii="仿宋_GB2312" w:hAnsi="仿宋_GB2312" w:cs="仿宋_GB2312"/>
          <w:szCs w:val="32"/>
          <w:lang w:eastAsia="zh-CN"/>
        </w:rPr>
        <w:t>借助企业等</w:t>
      </w:r>
      <w:r>
        <w:rPr>
          <w:rFonts w:hint="eastAsia" w:ascii="仿宋_GB2312" w:hAnsi="仿宋_GB2312" w:cs="仿宋_GB2312"/>
          <w:szCs w:val="32"/>
        </w:rPr>
        <w:t>推动我</w:t>
      </w:r>
      <w:r>
        <w:rPr>
          <w:rFonts w:hint="eastAsia" w:ascii="仿宋_GB2312" w:hAnsi="仿宋_GB2312" w:cs="仿宋_GB2312"/>
          <w:szCs w:val="32"/>
          <w:lang w:eastAsia="zh-CN"/>
        </w:rPr>
        <w:t>区</w:t>
      </w:r>
      <w:r>
        <w:rPr>
          <w:rFonts w:hint="eastAsia" w:ascii="仿宋_GB2312" w:hAnsi="仿宋_GB2312" w:cs="仿宋_GB2312"/>
          <w:szCs w:val="32"/>
        </w:rPr>
        <w:t>林下经济产品积极申报名特优新农产品、有机绿色食品等称号，提高林下经济产品核心竞争力。</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工信局</w:t>
      </w:r>
      <w:r>
        <w:rPr>
          <w:rFonts w:hint="eastAsia" w:ascii="仿宋_GB2312" w:hAnsi="仿宋_GB2312" w:cs="仿宋_GB2312"/>
          <w:b/>
          <w:bCs/>
          <w:szCs w:val="32"/>
          <w:lang w:eastAsia="zh-CN"/>
        </w:rPr>
        <w:t>、区</w:t>
      </w:r>
      <w:r>
        <w:rPr>
          <w:rFonts w:hint="eastAsia" w:ascii="仿宋_GB2312" w:hAnsi="仿宋_GB2312" w:cs="仿宋_GB2312"/>
          <w:b/>
          <w:bCs/>
          <w:szCs w:val="32"/>
        </w:rPr>
        <w:t>农业农村</w:t>
      </w:r>
      <w:r>
        <w:rPr>
          <w:rFonts w:hint="eastAsia" w:ascii="仿宋_GB2312" w:hAnsi="仿宋_GB2312" w:cs="仿宋_GB2312"/>
          <w:b/>
          <w:bCs/>
          <w:szCs w:val="32"/>
          <w:lang w:eastAsia="zh-CN"/>
        </w:rPr>
        <w:t>水利</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财政局、</w:t>
      </w:r>
      <w:r>
        <w:rPr>
          <w:rFonts w:hint="eastAsia" w:ascii="仿宋_GB2312" w:hAnsi="仿宋_GB2312" w:cs="仿宋_GB2312"/>
          <w:b/>
          <w:bCs/>
          <w:szCs w:val="32"/>
          <w:lang w:eastAsia="zh-CN"/>
        </w:rPr>
        <w:t>区</w:t>
      </w:r>
      <w:r>
        <w:rPr>
          <w:rFonts w:hint="eastAsia" w:ascii="仿宋_GB2312" w:hAnsi="仿宋_GB2312" w:cs="仿宋_GB2312"/>
          <w:b/>
          <w:bCs/>
          <w:szCs w:val="32"/>
        </w:rPr>
        <w:t>商务局、</w:t>
      </w:r>
      <w:r>
        <w:rPr>
          <w:rFonts w:hint="eastAsia" w:ascii="仿宋_GB2312" w:hAnsi="仿宋_GB2312" w:cs="仿宋_GB2312"/>
          <w:b/>
          <w:bCs/>
          <w:szCs w:val="32"/>
          <w:lang w:eastAsia="zh-CN"/>
        </w:rPr>
        <w:t>区</w:t>
      </w:r>
      <w:r>
        <w:rPr>
          <w:rFonts w:hint="eastAsia" w:ascii="仿宋_GB2312" w:hAnsi="仿宋_GB2312" w:cs="仿宋_GB2312"/>
          <w:b/>
          <w:bCs/>
          <w:szCs w:val="32"/>
        </w:rPr>
        <w:t>市监局、</w:t>
      </w:r>
      <w:r>
        <w:rPr>
          <w:rFonts w:hint="eastAsia" w:ascii="仿宋_GB2312" w:hAnsi="仿宋_GB2312" w:cs="仿宋_GB2312"/>
          <w:b/>
          <w:bCs/>
          <w:szCs w:val="32"/>
          <w:lang w:eastAsia="zh-CN"/>
        </w:rPr>
        <w:t>区</w:t>
      </w:r>
      <w:r>
        <w:rPr>
          <w:rFonts w:hint="eastAsia" w:ascii="仿宋_GB2312" w:hAnsi="仿宋_GB2312" w:cs="仿宋_GB2312"/>
          <w:b/>
          <w:bCs/>
          <w:szCs w:val="32"/>
        </w:rPr>
        <w:t>供销社、</w:t>
      </w:r>
      <w:r>
        <w:rPr>
          <w:rFonts w:hint="eastAsia" w:ascii="仿宋_GB2312" w:hAnsi="仿宋_GB2312" w:cs="仿宋_GB2312"/>
          <w:b/>
          <w:bCs/>
          <w:szCs w:val="32"/>
          <w:lang w:eastAsia="zh-CN"/>
        </w:rPr>
        <w:t>各乡</w:t>
      </w:r>
      <w:r>
        <w:rPr>
          <w:rFonts w:hint="eastAsia" w:ascii="仿宋_GB2312" w:hAnsi="仿宋_GB2312" w:cs="仿宋_GB2312"/>
          <w:b/>
          <w:bCs/>
          <w:szCs w:val="32"/>
        </w:rPr>
        <w:t>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r>
        <w:rPr>
          <w:rFonts w:hint="eastAsia" w:ascii="仿宋_GB2312" w:hAnsi="仿宋_GB2312" w:cs="仿宋_GB2312"/>
          <w:b/>
          <w:bCs/>
          <w:szCs w:val="32"/>
          <w:lang w:eastAsia="zh-CN"/>
        </w:rPr>
        <w:t>）</w:t>
      </w:r>
    </w:p>
    <w:p w14:paraId="3F5FD95C">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4.</w:t>
      </w:r>
      <w:r>
        <w:rPr>
          <w:rFonts w:hint="eastAsia" w:ascii="仿宋_GB2312" w:hAnsi="仿宋_GB2312" w:cs="仿宋_GB2312"/>
          <w:szCs w:val="32"/>
        </w:rPr>
        <w:t>加强与</w:t>
      </w:r>
      <w:r>
        <w:rPr>
          <w:rFonts w:hint="eastAsia" w:ascii="仿宋_GB2312" w:hAnsi="仿宋_GB2312" w:cs="仿宋_GB2312"/>
          <w:szCs w:val="32"/>
          <w:lang w:eastAsia="zh-CN"/>
        </w:rPr>
        <w:t>院校</w:t>
      </w:r>
      <w:r>
        <w:rPr>
          <w:rFonts w:hint="eastAsia" w:ascii="仿宋_GB2312" w:hAnsi="仿宋_GB2312" w:cs="仿宋_GB2312"/>
          <w:szCs w:val="32"/>
        </w:rPr>
        <w:t>合作，全力推进</w:t>
      </w:r>
      <w:r>
        <w:rPr>
          <w:rFonts w:hint="eastAsia" w:ascii="仿宋_GB2312" w:hAnsi="仿宋_GB2312" w:cs="仿宋_GB2312"/>
          <w:szCs w:val="32"/>
          <w:lang w:eastAsia="zh-CN"/>
        </w:rPr>
        <w:t>蛇产业</w:t>
      </w:r>
      <w:r>
        <w:rPr>
          <w:rFonts w:hint="eastAsia" w:ascii="仿宋_GB2312" w:hAnsi="仿宋_GB2312" w:cs="仿宋_GB2312"/>
          <w:szCs w:val="32"/>
        </w:rPr>
        <w:t>基地建设。按照全产业链开发、全价值链提升的思路，着力育龙头、强基地、联农户、活机制，走规模化、集约化、标准化、品牌化、精细化发展路子，充分发挥资源优势，加强品牌建设</w:t>
      </w:r>
      <w:r>
        <w:rPr>
          <w:rFonts w:hint="eastAsia" w:ascii="仿宋_GB2312" w:hAnsi="仿宋_GB2312" w:cs="仿宋_GB2312"/>
          <w:szCs w:val="32"/>
          <w:lang w:eastAsia="zh-CN"/>
        </w:rPr>
        <w:t>，进一步规范蛇酒生产工艺，丰富酒品品类；完成蛇类人工饲养、蛇毒提取、精炼、检测行业标准，实现药用蛇类规模化养殖，成为国内蛇毒、蛇干供应基地。完成妆字号、消字号、械字号厂房建设、产品研发生产，推动规模化生产建设</w:t>
      </w:r>
      <w:r>
        <w:rPr>
          <w:rFonts w:hint="eastAsia" w:ascii="仿宋_GB2312" w:hAnsi="仿宋_GB2312" w:cs="仿宋_GB2312"/>
          <w:szCs w:val="32"/>
        </w:rPr>
        <w:t>。</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工信局、</w:t>
      </w:r>
      <w:r>
        <w:rPr>
          <w:rFonts w:hint="eastAsia" w:ascii="仿宋_GB2312" w:hAnsi="仿宋_GB2312" w:cs="仿宋_GB2312"/>
          <w:b/>
          <w:bCs/>
          <w:szCs w:val="32"/>
          <w:lang w:eastAsia="zh-CN"/>
        </w:rPr>
        <w:t>区</w:t>
      </w:r>
      <w:r>
        <w:rPr>
          <w:rFonts w:hint="eastAsia" w:ascii="仿宋_GB2312" w:hAnsi="仿宋_GB2312" w:cs="仿宋_GB2312"/>
          <w:b/>
          <w:bCs/>
          <w:szCs w:val="32"/>
        </w:rPr>
        <w:t>农业农村</w:t>
      </w:r>
      <w:r>
        <w:rPr>
          <w:rFonts w:hint="eastAsia" w:ascii="仿宋_GB2312" w:hAnsi="仿宋_GB2312" w:cs="仿宋_GB2312"/>
          <w:b/>
          <w:bCs/>
          <w:szCs w:val="32"/>
          <w:lang w:eastAsia="zh-CN"/>
        </w:rPr>
        <w:t>水利</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财政局、</w:t>
      </w:r>
      <w:r>
        <w:rPr>
          <w:rFonts w:hint="eastAsia" w:ascii="仿宋_GB2312" w:hAnsi="仿宋_GB2312" w:cs="仿宋_GB2312"/>
          <w:b/>
          <w:bCs/>
          <w:szCs w:val="32"/>
          <w:lang w:eastAsia="zh-CN"/>
        </w:rPr>
        <w:t>区</w:t>
      </w:r>
      <w:r>
        <w:rPr>
          <w:rFonts w:hint="eastAsia" w:ascii="仿宋_GB2312" w:hAnsi="仿宋_GB2312" w:cs="仿宋_GB2312"/>
          <w:b/>
          <w:bCs/>
          <w:szCs w:val="32"/>
        </w:rPr>
        <w:t>商务局、</w:t>
      </w:r>
      <w:r>
        <w:rPr>
          <w:rFonts w:hint="eastAsia" w:ascii="仿宋_GB2312" w:hAnsi="仿宋_GB2312" w:cs="仿宋_GB2312"/>
          <w:b/>
          <w:bCs/>
          <w:szCs w:val="32"/>
          <w:lang w:eastAsia="zh-CN"/>
        </w:rPr>
        <w:t>区</w:t>
      </w:r>
      <w:r>
        <w:rPr>
          <w:rFonts w:hint="eastAsia" w:ascii="仿宋_GB2312" w:hAnsi="仿宋_GB2312" w:cs="仿宋_GB2312"/>
          <w:b/>
          <w:bCs/>
          <w:szCs w:val="32"/>
        </w:rPr>
        <w:t>市监局、</w:t>
      </w:r>
      <w:r>
        <w:rPr>
          <w:rFonts w:hint="eastAsia" w:ascii="仿宋_GB2312" w:hAnsi="仿宋_GB2312" w:cs="仿宋_GB2312"/>
          <w:b/>
          <w:bCs/>
          <w:szCs w:val="32"/>
          <w:lang w:eastAsia="zh-CN"/>
        </w:rPr>
        <w:t>区</w:t>
      </w:r>
      <w:r>
        <w:rPr>
          <w:rFonts w:hint="eastAsia" w:ascii="仿宋_GB2312" w:hAnsi="仿宋_GB2312" w:cs="仿宋_GB2312"/>
          <w:b/>
          <w:bCs/>
          <w:szCs w:val="32"/>
        </w:rPr>
        <w:t>供销社、</w:t>
      </w:r>
      <w:r>
        <w:rPr>
          <w:rFonts w:hint="eastAsia" w:ascii="仿宋_GB2312" w:hAnsi="仿宋_GB2312" w:cs="仿宋_GB2312"/>
          <w:b/>
          <w:bCs/>
          <w:szCs w:val="32"/>
          <w:lang w:eastAsia="zh-CN"/>
        </w:rPr>
        <w:t>丽阳镇</w:t>
      </w:r>
      <w:r>
        <w:rPr>
          <w:rFonts w:hint="eastAsia" w:ascii="仿宋_GB2312" w:hAnsi="仿宋_GB2312" w:cs="仿宋_GB2312"/>
          <w:b/>
          <w:bCs/>
          <w:szCs w:val="32"/>
        </w:rPr>
        <w:t>，持续推进</w:t>
      </w:r>
      <w:r>
        <w:rPr>
          <w:rFonts w:hint="eastAsia" w:ascii="仿宋_GB2312" w:hAnsi="仿宋_GB2312" w:cs="仿宋_GB2312"/>
          <w:b/>
          <w:bCs/>
          <w:szCs w:val="32"/>
          <w:lang w:eastAsia="zh-CN"/>
        </w:rPr>
        <w:t>）</w:t>
      </w:r>
    </w:p>
    <w:p w14:paraId="56F42465">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（九）强化基础服务保障</w:t>
      </w:r>
    </w:p>
    <w:p w14:paraId="304527C1">
      <w:pPr>
        <w:spacing w:line="240" w:lineRule="auto"/>
        <w:ind w:firstLine="640" w:firstLineChars="200"/>
        <w:jc w:val="both"/>
        <w:rPr>
          <w:rFonts w:hint="eastAsia" w:ascii="仿宋_GB2312" w:hAnsi="仿宋_GB2312" w:cs="仿宋_GB2312"/>
          <w:szCs w:val="32"/>
        </w:rPr>
      </w:pPr>
      <w:r>
        <w:rPr>
          <w:rFonts w:hint="eastAsia" w:ascii="仿宋_GB2312" w:hAnsi="仿宋_GB2312" w:cs="仿宋_GB2312"/>
          <w:szCs w:val="32"/>
          <w:lang w:eastAsia="zh-CN"/>
        </w:rPr>
        <w:t>1.</w:t>
      </w:r>
      <w:r>
        <w:rPr>
          <w:rFonts w:hint="eastAsia" w:ascii="仿宋_GB2312" w:hAnsi="仿宋_GB2312" w:cs="仿宋_GB2312"/>
          <w:szCs w:val="32"/>
        </w:rPr>
        <w:t>支持林业产业路、旅游路、资源路、防火路等林区公路建设。</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交通运输局、</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文</w:t>
      </w:r>
      <w:r>
        <w:rPr>
          <w:rFonts w:hint="eastAsia" w:ascii="仿宋_GB2312" w:hAnsi="仿宋_GB2312" w:cs="仿宋_GB2312"/>
          <w:b/>
          <w:bCs/>
          <w:szCs w:val="32"/>
          <w:lang w:eastAsia="zh-CN"/>
        </w:rPr>
        <w:t>广</w:t>
      </w:r>
      <w:r>
        <w:rPr>
          <w:rFonts w:hint="eastAsia" w:ascii="仿宋_GB2312" w:hAnsi="仿宋_GB2312" w:cs="仿宋_GB2312"/>
          <w:b/>
          <w:bCs/>
          <w:szCs w:val="32"/>
        </w:rPr>
        <w:t>旅局、</w:t>
      </w:r>
      <w:r>
        <w:rPr>
          <w:rFonts w:hint="eastAsia" w:ascii="仿宋_GB2312" w:hAnsi="仿宋_GB2312" w:cs="仿宋_GB2312"/>
          <w:b/>
          <w:bCs/>
          <w:szCs w:val="32"/>
          <w:lang w:eastAsia="zh-CN"/>
        </w:rPr>
        <w:t>区</w:t>
      </w:r>
      <w:r>
        <w:rPr>
          <w:rFonts w:hint="eastAsia" w:ascii="仿宋_GB2312" w:hAnsi="仿宋_GB2312" w:cs="仿宋_GB2312"/>
          <w:b/>
          <w:bCs/>
          <w:szCs w:val="32"/>
        </w:rPr>
        <w:t>应急管理局、各乡镇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658AF5B9">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2.</w:t>
      </w:r>
      <w:r>
        <w:rPr>
          <w:rFonts w:hint="eastAsia" w:ascii="仿宋_GB2312" w:hAnsi="仿宋_GB2312" w:cs="仿宋_GB2312"/>
          <w:szCs w:val="32"/>
        </w:rPr>
        <w:t>利用林间空地建设生产资料库房、采集产品临时储藏室、管护用房等必要的生产管护和服务设施，相关用地</w:t>
      </w:r>
      <w:r>
        <w:rPr>
          <w:rFonts w:hint="eastAsia" w:ascii="仿宋_GB2312" w:hAnsi="仿宋_GB2312" w:cs="仿宋_GB2312"/>
          <w:szCs w:val="32"/>
          <w:lang w:val="en-US" w:eastAsia="zh-CN"/>
        </w:rPr>
        <w:t>手续按</w:t>
      </w:r>
      <w:r>
        <w:rPr>
          <w:rFonts w:hint="eastAsia" w:ascii="仿宋_GB2312" w:hAnsi="仿宋_GB2312" w:cs="仿宋_GB2312"/>
          <w:szCs w:val="32"/>
        </w:rPr>
        <w:t>直接为林业生产服务的设施用地办理。</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市自然资源和规划</w:t>
      </w:r>
      <w:r>
        <w:rPr>
          <w:rFonts w:hint="eastAsia" w:ascii="仿宋_GB2312" w:hAnsi="仿宋_GB2312" w:cs="仿宋_GB2312"/>
          <w:b/>
          <w:bCs/>
          <w:szCs w:val="32"/>
        </w:rPr>
        <w:t>局</w:t>
      </w:r>
      <w:r>
        <w:rPr>
          <w:rFonts w:hint="eastAsia" w:ascii="仿宋_GB2312" w:hAnsi="仿宋_GB2312" w:cs="仿宋_GB2312"/>
          <w:b/>
          <w:bCs/>
          <w:szCs w:val="32"/>
          <w:lang w:eastAsia="zh-CN"/>
        </w:rPr>
        <w:t>昌江分局</w:t>
      </w:r>
      <w:r>
        <w:rPr>
          <w:rFonts w:hint="eastAsia" w:ascii="仿宋_GB2312" w:hAnsi="仿宋_GB2312" w:cs="仿宋_GB2312"/>
          <w:b/>
          <w:bCs/>
          <w:szCs w:val="32"/>
        </w:rPr>
        <w:t>、各乡镇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4732C1D2">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3.</w:t>
      </w:r>
      <w:r>
        <w:rPr>
          <w:rFonts w:hint="eastAsia" w:ascii="仿宋_GB2312" w:hAnsi="仿宋_GB2312" w:cs="仿宋_GB2312"/>
          <w:szCs w:val="32"/>
        </w:rPr>
        <w:t>为林业机械设备申报发放农机购置补贴。</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农业农村</w:t>
      </w:r>
      <w:r>
        <w:rPr>
          <w:rFonts w:hint="eastAsia" w:ascii="仿宋_GB2312" w:hAnsi="仿宋_GB2312" w:cs="仿宋_GB2312"/>
          <w:b/>
          <w:bCs/>
          <w:szCs w:val="32"/>
          <w:lang w:eastAsia="zh-CN"/>
        </w:rPr>
        <w:t>水利</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3D606BD8">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val="en-US" w:eastAsia="zh-CN"/>
        </w:rPr>
        <w:t>4.</w:t>
      </w:r>
      <w:r>
        <w:rPr>
          <w:rFonts w:hint="eastAsia" w:ascii="仿宋_GB2312" w:hAnsi="仿宋_GB2312" w:cs="仿宋_GB2312"/>
          <w:szCs w:val="32"/>
        </w:rPr>
        <w:t>严格落实国家税收减免政策，对符合条件的初级林产品免征增值税</w:t>
      </w:r>
      <w:r>
        <w:rPr>
          <w:rFonts w:hint="eastAsia" w:ascii="仿宋_GB2312" w:hAnsi="仿宋_GB2312" w:cs="仿宋_GB2312"/>
          <w:szCs w:val="32"/>
          <w:lang w:eastAsia="zh-CN"/>
        </w:rPr>
        <w:t>，</w:t>
      </w:r>
      <w:r>
        <w:rPr>
          <w:rFonts w:hint="eastAsia" w:ascii="仿宋_GB2312" w:hAnsi="仿宋_GB2312" w:cs="仿宋_GB2312"/>
          <w:szCs w:val="32"/>
        </w:rPr>
        <w:t>对林地承包经营权和林地经营权流转合同不征收印花税等。</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税务局、</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2BDFB3D9">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5.</w:t>
      </w:r>
      <w:r>
        <w:rPr>
          <w:rFonts w:hint="eastAsia" w:ascii="仿宋_GB2312" w:hAnsi="仿宋_GB2312" w:cs="仿宋_GB2312"/>
          <w:szCs w:val="32"/>
        </w:rPr>
        <w:t>加强</w:t>
      </w:r>
      <w:r>
        <w:rPr>
          <w:rFonts w:hint="eastAsia" w:ascii="仿宋_GB2312" w:hAnsi="仿宋_GB2312" w:cs="仿宋_GB2312"/>
          <w:szCs w:val="32"/>
          <w:lang w:val="en-US" w:eastAsia="zh-CN"/>
        </w:rPr>
        <w:t>部门</w:t>
      </w:r>
      <w:r>
        <w:rPr>
          <w:rFonts w:hint="eastAsia" w:ascii="仿宋_GB2312" w:hAnsi="仿宋_GB2312" w:cs="仿宋_GB2312"/>
          <w:szCs w:val="32"/>
        </w:rPr>
        <w:t>协作，推进电力线路生物防火林带共建，进一步完善森林防灭火机制。</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应急管理局、</w:t>
      </w:r>
      <w:r>
        <w:rPr>
          <w:rFonts w:hint="eastAsia" w:ascii="仿宋_GB2312" w:hAnsi="仿宋_GB2312" w:cs="仿宋_GB2312"/>
          <w:b/>
          <w:bCs/>
          <w:szCs w:val="32"/>
          <w:lang w:eastAsia="zh-CN"/>
        </w:rPr>
        <w:t>区供</w:t>
      </w:r>
      <w:r>
        <w:rPr>
          <w:rFonts w:hint="eastAsia" w:ascii="仿宋_GB2312" w:hAnsi="仿宋_GB2312" w:cs="仿宋_GB2312"/>
          <w:b/>
          <w:bCs/>
          <w:szCs w:val="32"/>
        </w:rPr>
        <w:t>电公司、各乡镇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r>
        <w:rPr>
          <w:rFonts w:hint="eastAsia" w:ascii="仿宋_GB2312" w:hAnsi="仿宋_GB2312" w:cs="仿宋_GB2312"/>
          <w:b/>
          <w:bCs/>
          <w:szCs w:val="32"/>
          <w:lang w:eastAsia="zh-CN"/>
        </w:rPr>
        <w:t>）</w:t>
      </w:r>
    </w:p>
    <w:p w14:paraId="45A1A1CB">
      <w:pPr>
        <w:spacing w:line="240" w:lineRule="auto"/>
        <w:ind w:firstLine="640" w:firstLineChars="200"/>
        <w:jc w:val="both"/>
        <w:rPr>
          <w:rFonts w:hint="eastAsia" w:ascii="黑体" w:hAnsi="黑体" w:eastAsia="黑体" w:cs="Times New Roman"/>
        </w:rPr>
      </w:pPr>
      <w:r>
        <w:rPr>
          <w:rFonts w:hint="eastAsia" w:ascii="黑体" w:hAnsi="黑体" w:eastAsia="黑体" w:cs="Times New Roman"/>
        </w:rPr>
        <w:t>五、拓宽林业生态产品价值实现路径</w:t>
      </w:r>
    </w:p>
    <w:p w14:paraId="3934506F">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（十）创新绿色金融产品</w:t>
      </w:r>
    </w:p>
    <w:p w14:paraId="046D8E98">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1.</w:t>
      </w:r>
      <w:r>
        <w:rPr>
          <w:rFonts w:hint="eastAsia" w:ascii="仿宋_GB2312" w:hAnsi="仿宋_GB2312" w:cs="仿宋_GB2312"/>
          <w:szCs w:val="32"/>
        </w:rPr>
        <w:t>各金融机构积极开展经济林、碳汇林、林下经济、公益林补偿等收益权质押贷款业务</w:t>
      </w:r>
      <w:r>
        <w:rPr>
          <w:rFonts w:hint="eastAsia" w:ascii="仿宋_GB2312" w:hAnsi="仿宋_GB2312" w:cs="仿宋_GB2312"/>
          <w:szCs w:val="32"/>
          <w:lang w:eastAsia="zh-CN"/>
        </w:rPr>
        <w:t>；</w:t>
      </w:r>
      <w:r>
        <w:rPr>
          <w:rFonts w:hint="eastAsia" w:ascii="仿宋_GB2312" w:hAnsi="仿宋_GB2312" w:cs="仿宋_GB2312"/>
          <w:szCs w:val="32"/>
        </w:rPr>
        <w:t>主动开发符合林业经营特点的中长期、利率优惠贷款产品</w:t>
      </w:r>
      <w:r>
        <w:rPr>
          <w:rFonts w:hint="eastAsia" w:ascii="仿宋_GB2312" w:hAnsi="仿宋_GB2312" w:cs="仿宋_GB2312"/>
          <w:szCs w:val="32"/>
          <w:lang w:eastAsia="zh-CN"/>
        </w:rPr>
        <w:t>，</w:t>
      </w:r>
      <w:r>
        <w:rPr>
          <w:rFonts w:hint="eastAsia" w:ascii="仿宋_GB2312" w:hAnsi="仿宋_GB2312" w:cs="仿宋_GB2312"/>
          <w:szCs w:val="32"/>
        </w:rPr>
        <w:t>创新林业碳汇、贷款保证保险等金融产品。将符合条件的林权交易服务、林产品精深加工等纳入绿色金融支持范围。支持符合条件的到期贷款无还本续贷和展贷。</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4F0C133A">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2.</w:t>
      </w:r>
      <w:r>
        <w:rPr>
          <w:rFonts w:hint="eastAsia" w:ascii="仿宋_GB2312" w:hAnsi="仿宋_GB2312" w:cs="仿宋_GB2312"/>
          <w:szCs w:val="32"/>
        </w:rPr>
        <w:t>支持林业经营大户、家庭林场、林业合作社、林业龙头企业等森林经营单位享受“财农信贷通”政策。</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农业农村</w:t>
      </w:r>
      <w:r>
        <w:rPr>
          <w:rFonts w:hint="eastAsia" w:ascii="仿宋_GB2312" w:hAnsi="仿宋_GB2312" w:cs="仿宋_GB2312"/>
          <w:b/>
          <w:bCs/>
          <w:szCs w:val="32"/>
          <w:lang w:eastAsia="zh-CN"/>
        </w:rPr>
        <w:t>水利</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财政局、</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4C8404C8">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eastAsia="zh-CN"/>
        </w:rPr>
        <w:t>3.</w:t>
      </w:r>
      <w:r>
        <w:rPr>
          <w:rFonts w:hint="eastAsia" w:ascii="仿宋_GB2312" w:hAnsi="仿宋_GB2312" w:cs="仿宋_GB2312"/>
          <w:szCs w:val="32"/>
        </w:rPr>
        <w:t>各保险机构积极开展中药材等特色森林保险，适度提高政策性森林保险保额、优化费率，增强林业经营主体抵御自然、市场风险的能力。</w:t>
      </w:r>
      <w:r>
        <w:rPr>
          <w:rFonts w:hint="eastAsia" w:ascii="仿宋_GB2312" w:hAnsi="仿宋_GB2312" w:cs="仿宋_GB2312"/>
          <w:b/>
          <w:bCs/>
          <w:szCs w:val="32"/>
          <w:lang w:eastAsia="zh-CN"/>
        </w:rPr>
        <w:t>（</w:t>
      </w:r>
      <w:r>
        <w:rPr>
          <w:rFonts w:hint="eastAsia" w:ascii="仿宋_GB2312" w:hAnsi="仿宋_GB2312" w:cs="仿宋_GB2312"/>
          <w:b/>
          <w:bCs/>
          <w:szCs w:val="32"/>
        </w:rPr>
        <w:t>责任单位：保险公司、</w:t>
      </w:r>
      <w:r>
        <w:rPr>
          <w:rFonts w:hint="eastAsia" w:ascii="仿宋_GB2312" w:hAnsi="仿宋_GB2312" w:cs="仿宋_GB2312"/>
          <w:b/>
          <w:bCs/>
          <w:szCs w:val="32"/>
          <w:lang w:eastAsia="zh-CN"/>
        </w:rPr>
        <w:t>区</w:t>
      </w:r>
      <w:r>
        <w:rPr>
          <w:rFonts w:hint="eastAsia" w:ascii="仿宋_GB2312" w:hAnsi="仿宋_GB2312" w:cs="仿宋_GB2312"/>
          <w:b/>
          <w:bCs/>
          <w:szCs w:val="32"/>
        </w:rPr>
        <w:t>财政局、</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r>
        <w:rPr>
          <w:rFonts w:hint="eastAsia" w:ascii="仿宋_GB2312" w:hAnsi="仿宋_GB2312" w:cs="仿宋_GB2312"/>
          <w:b/>
          <w:bCs/>
          <w:szCs w:val="32"/>
          <w:lang w:eastAsia="zh-CN"/>
        </w:rPr>
        <w:t>）</w:t>
      </w:r>
    </w:p>
    <w:p w14:paraId="73A46377">
      <w:pPr>
        <w:spacing w:line="240" w:lineRule="auto"/>
        <w:ind w:firstLine="640" w:firstLineChars="200"/>
        <w:jc w:val="both"/>
        <w:rPr>
          <w:rFonts w:hint="eastAsia" w:ascii="黑体" w:hAnsi="黑体" w:eastAsia="黑体" w:cs="Times New Roman"/>
        </w:rPr>
      </w:pPr>
      <w:r>
        <w:rPr>
          <w:rFonts w:hint="eastAsia" w:ascii="黑体" w:hAnsi="黑体" w:eastAsia="黑体" w:cs="Times New Roman"/>
        </w:rPr>
        <w:t>六、畅通林权登记</w:t>
      </w:r>
    </w:p>
    <w:p w14:paraId="03A61CDB">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（十一）妥善解决历史遗留问题</w:t>
      </w:r>
    </w:p>
    <w:p w14:paraId="77DA84E7">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rPr>
        <w:t>结合林地发包、延包</w:t>
      </w:r>
      <w:r>
        <w:rPr>
          <w:rFonts w:hint="eastAsia" w:ascii="仿宋_GB2312" w:hAnsi="仿宋_GB2312" w:cs="仿宋_GB2312"/>
          <w:szCs w:val="32"/>
          <w:lang w:eastAsia="zh-CN"/>
        </w:rPr>
        <w:t>，</w:t>
      </w:r>
      <w:r>
        <w:rPr>
          <w:rFonts w:hint="eastAsia" w:ascii="仿宋_GB2312" w:hAnsi="仿宋_GB2312" w:cs="仿宋_GB2312"/>
          <w:szCs w:val="32"/>
          <w:lang w:val="en-US" w:eastAsia="zh-CN"/>
        </w:rPr>
        <w:t>对存在林地权属不清、重复发证的情况进行逐步纠正。</w:t>
      </w:r>
      <w:r>
        <w:rPr>
          <w:rFonts w:hint="eastAsia" w:ascii="仿宋_GB2312" w:hAnsi="仿宋_GB2312" w:cs="仿宋_GB2312"/>
          <w:b/>
          <w:bCs/>
          <w:szCs w:val="32"/>
        </w:rPr>
        <w:t>（责任单位：</w:t>
      </w:r>
      <w:r>
        <w:rPr>
          <w:rFonts w:hint="eastAsia" w:ascii="仿宋_GB2312" w:hAnsi="仿宋_GB2312" w:cs="仿宋_GB2312"/>
          <w:b/>
          <w:bCs/>
          <w:szCs w:val="32"/>
          <w:lang w:eastAsia="zh-CN"/>
        </w:rPr>
        <w:t>市自然资源和规划</w:t>
      </w:r>
      <w:r>
        <w:rPr>
          <w:rFonts w:hint="eastAsia" w:ascii="仿宋_GB2312" w:hAnsi="仿宋_GB2312" w:cs="仿宋_GB2312"/>
          <w:b/>
          <w:bCs/>
          <w:szCs w:val="32"/>
        </w:rPr>
        <w:t>局</w:t>
      </w:r>
      <w:r>
        <w:rPr>
          <w:rFonts w:hint="eastAsia" w:ascii="仿宋_GB2312" w:hAnsi="仿宋_GB2312" w:cs="仿宋_GB2312"/>
          <w:b/>
          <w:bCs/>
          <w:szCs w:val="32"/>
          <w:lang w:eastAsia="zh-CN"/>
        </w:rPr>
        <w:t>昌江分局</w:t>
      </w:r>
      <w:r>
        <w:rPr>
          <w:rFonts w:hint="eastAsia" w:ascii="仿宋_GB2312" w:hAnsi="仿宋_GB2312" w:cs="仿宋_GB2312"/>
          <w:b/>
          <w:bCs/>
          <w:szCs w:val="32"/>
        </w:rPr>
        <w:t>、</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，持续推进）</w:t>
      </w:r>
    </w:p>
    <w:p w14:paraId="45DDBFF9">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（十二）建立林权登记协同便民利民机制</w:t>
      </w:r>
    </w:p>
    <w:p w14:paraId="7A259205">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rPr>
        <w:t>加快不动产登记系统与林权管理服务系统对接和信息共享。建立林权登记协同机制，推动信息实时互通共享，确保林权登记和流转服务正常运行。</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市自然资源和规划</w:t>
      </w:r>
      <w:r>
        <w:rPr>
          <w:rFonts w:hint="eastAsia" w:ascii="仿宋_GB2312" w:hAnsi="仿宋_GB2312" w:cs="仿宋_GB2312"/>
          <w:b/>
          <w:bCs/>
          <w:szCs w:val="32"/>
        </w:rPr>
        <w:t>局</w:t>
      </w:r>
      <w:r>
        <w:rPr>
          <w:rFonts w:hint="eastAsia" w:ascii="仿宋_GB2312" w:hAnsi="仿宋_GB2312" w:cs="仿宋_GB2312"/>
          <w:b/>
          <w:bCs/>
          <w:szCs w:val="32"/>
          <w:lang w:eastAsia="zh-CN"/>
        </w:rPr>
        <w:t>昌江分局</w:t>
      </w:r>
      <w:r>
        <w:rPr>
          <w:rFonts w:hint="eastAsia" w:ascii="仿宋_GB2312" w:hAnsi="仿宋_GB2312" w:cs="仿宋_GB2312"/>
          <w:b/>
          <w:bCs/>
          <w:szCs w:val="32"/>
        </w:rPr>
        <w:t>、</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r>
        <w:rPr>
          <w:rFonts w:hint="eastAsia" w:ascii="仿宋_GB2312" w:hAnsi="仿宋_GB2312" w:cs="仿宋_GB2312"/>
          <w:b/>
          <w:bCs/>
          <w:szCs w:val="32"/>
          <w:lang w:eastAsia="zh-CN"/>
        </w:rPr>
        <w:t>）</w:t>
      </w:r>
    </w:p>
    <w:p w14:paraId="305B9E80">
      <w:pPr>
        <w:spacing w:line="240" w:lineRule="auto"/>
        <w:ind w:firstLine="640" w:firstLineChars="200"/>
        <w:jc w:val="both"/>
        <w:rPr>
          <w:rFonts w:hint="eastAsia" w:ascii="黑体" w:hAnsi="黑体" w:eastAsia="黑体" w:cs="Times New Roman"/>
        </w:rPr>
      </w:pPr>
      <w:r>
        <w:rPr>
          <w:rFonts w:hint="eastAsia" w:ascii="黑体" w:hAnsi="黑体" w:eastAsia="黑体" w:cs="Times New Roman"/>
        </w:rPr>
        <w:t>七、加强林业基层建设</w:t>
      </w:r>
    </w:p>
    <w:p w14:paraId="2DB17501">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（十三）加强队伍建设</w:t>
      </w:r>
    </w:p>
    <w:p w14:paraId="1C6AA374">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szCs w:val="32"/>
        </w:rPr>
        <w:t>推深做实林长制，编制林长制工作手册，压实各级林长责任，开展常态化巡林、形成工作督查督办机制</w:t>
      </w:r>
      <w:r>
        <w:rPr>
          <w:rFonts w:hint="eastAsia" w:ascii="仿宋_GB2312" w:hAnsi="仿宋_GB2312" w:cs="仿宋_GB2312"/>
          <w:szCs w:val="32"/>
          <w:lang w:eastAsia="zh-CN"/>
        </w:rPr>
        <w:t>，</w:t>
      </w:r>
      <w:r>
        <w:rPr>
          <w:rFonts w:hint="eastAsia" w:ascii="仿宋_GB2312" w:hAnsi="仿宋_GB2312" w:cs="仿宋_GB2312"/>
          <w:szCs w:val="32"/>
          <w:lang w:val="en-US" w:eastAsia="zh-CN"/>
        </w:rPr>
        <w:t>充分发挥</w:t>
      </w:r>
      <w:r>
        <w:rPr>
          <w:rFonts w:hint="eastAsia" w:ascii="仿宋_GB2312" w:hAnsi="仿宋_GB2312" w:cs="仿宋_GB2312"/>
          <w:szCs w:val="32"/>
        </w:rPr>
        <w:t>林长</w:t>
      </w:r>
      <w:r>
        <w:rPr>
          <w:rFonts w:hint="eastAsia" w:ascii="仿宋_GB2312" w:hAnsi="仿宋_GB2312" w:cs="仿宋_GB2312"/>
          <w:szCs w:val="32"/>
          <w:lang w:val="en-US" w:eastAsia="zh-CN"/>
        </w:rPr>
        <w:t>作用</w:t>
      </w:r>
      <w:r>
        <w:rPr>
          <w:rFonts w:hint="eastAsia" w:ascii="仿宋_GB2312" w:hAnsi="仿宋_GB2312" w:cs="仿宋_GB2312"/>
          <w:szCs w:val="32"/>
        </w:rPr>
        <w:t>来解决林业重点、难点和疑点问题，带着发现和解决问题的目的下基层，真正形成管理闭环。</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p>
    <w:p w14:paraId="5D01C753">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szCs w:val="32"/>
        </w:rPr>
        <w:t>乡镇</w:t>
      </w:r>
      <w:r>
        <w:rPr>
          <w:rFonts w:hint="eastAsia" w:ascii="仿宋_GB2312" w:hAnsi="仿宋_GB2312" w:cs="仿宋_GB2312"/>
          <w:szCs w:val="32"/>
          <w:lang w:eastAsia="zh-CN"/>
        </w:rPr>
        <w:t>、街道</w:t>
      </w:r>
      <w:r>
        <w:rPr>
          <w:rFonts w:hint="eastAsia" w:ascii="仿宋_GB2312" w:hAnsi="仿宋_GB2312" w:cs="仿宋_GB2312"/>
          <w:szCs w:val="32"/>
        </w:rPr>
        <w:t>根据工作需要明确</w:t>
      </w:r>
      <w:r>
        <w:rPr>
          <w:rFonts w:hint="eastAsia" w:ascii="仿宋_GB2312" w:hAnsi="仿宋_GB2312" w:cs="仿宋_GB2312"/>
          <w:szCs w:val="32"/>
          <w:lang w:eastAsia="zh-CN"/>
        </w:rPr>
        <w:t>专门</w:t>
      </w:r>
      <w:r>
        <w:rPr>
          <w:rFonts w:hint="eastAsia" w:ascii="仿宋_GB2312" w:hAnsi="仿宋_GB2312" w:cs="仿宋_GB2312"/>
          <w:szCs w:val="32"/>
        </w:rPr>
        <w:t>人员承担林业工作；乡镇便民服务中心要保证有足够的人员承担林业工作，接受</w:t>
      </w:r>
      <w:r>
        <w:rPr>
          <w:rFonts w:hint="eastAsia" w:ascii="仿宋_GB2312" w:hAnsi="仿宋_GB2312" w:cs="仿宋_GB2312"/>
          <w:szCs w:val="32"/>
          <w:lang w:eastAsia="zh-CN"/>
        </w:rPr>
        <w:t>区</w:t>
      </w:r>
      <w:r>
        <w:rPr>
          <w:rFonts w:hint="eastAsia" w:ascii="仿宋_GB2312" w:hAnsi="仿宋_GB2312" w:cs="仿宋_GB2312"/>
          <w:szCs w:val="32"/>
        </w:rPr>
        <w:t>林业局的业务指导管理。</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p>
    <w:p w14:paraId="1EC0FE59">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3.</w:t>
      </w:r>
      <w:r>
        <w:rPr>
          <w:rFonts w:hint="eastAsia" w:ascii="仿宋_GB2312" w:hAnsi="仿宋_GB2312" w:cs="仿宋_GB2312"/>
          <w:szCs w:val="32"/>
        </w:rPr>
        <w:t>由财政支持按照政府购买服务的规定购买巡林护林服务。</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eastAsia="zh-CN"/>
        </w:rPr>
        <w:t>区</w:t>
      </w:r>
      <w:r>
        <w:rPr>
          <w:rFonts w:hint="eastAsia" w:ascii="仿宋_GB2312" w:hAnsi="仿宋_GB2312" w:cs="仿宋_GB2312"/>
          <w:b/>
          <w:bCs/>
          <w:szCs w:val="32"/>
        </w:rPr>
        <w:t>财政局、各乡镇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r>
        <w:rPr>
          <w:rFonts w:hint="eastAsia" w:ascii="仿宋_GB2312" w:hAnsi="仿宋_GB2312" w:cs="仿宋_GB2312"/>
          <w:b/>
          <w:bCs/>
          <w:szCs w:val="32"/>
          <w:lang w:eastAsia="zh-CN"/>
        </w:rPr>
        <w:t>）</w:t>
      </w:r>
    </w:p>
    <w:p w14:paraId="20A758D1">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val="en-US" w:eastAsia="zh-CN"/>
        </w:rPr>
        <w:t>4.积极推动国有林场企业化改革，建立市场化管理体制，着力打造林场保生态，公司创收益的国有林场发展新模式。</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val="en-US" w:eastAsia="zh-CN"/>
        </w:rPr>
        <w:t>区国资公司、</w:t>
      </w:r>
      <w:r>
        <w:rPr>
          <w:rFonts w:hint="eastAsia" w:ascii="仿宋_GB2312" w:hAnsi="仿宋_GB2312" w:cs="仿宋_GB2312"/>
          <w:b/>
          <w:bCs/>
          <w:szCs w:val="32"/>
        </w:rPr>
        <w:t>国有林场、各乡镇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，2025年底前完成</w:t>
      </w:r>
      <w:r>
        <w:rPr>
          <w:rFonts w:hint="eastAsia" w:ascii="仿宋_GB2312" w:hAnsi="仿宋_GB2312" w:cs="仿宋_GB2312"/>
          <w:b/>
          <w:bCs/>
          <w:szCs w:val="32"/>
          <w:lang w:eastAsia="zh-CN"/>
        </w:rPr>
        <w:t>）</w:t>
      </w:r>
    </w:p>
    <w:p w14:paraId="3C55D0B2">
      <w:pPr>
        <w:spacing w:line="240" w:lineRule="auto"/>
        <w:ind w:firstLine="622" w:firstLineChars="0"/>
        <w:jc w:val="both"/>
        <w:rPr>
          <w:rFonts w:hint="eastAsia" w:ascii="楷体_GB2312" w:hAnsi="楷体_GB2312" w:eastAsia="楷体_GB2312" w:cs="楷体_GB2312"/>
          <w:b/>
          <w:bCs/>
          <w:szCs w:val="22"/>
          <w:lang w:val="en-US" w:eastAsia="zh-CN"/>
        </w:rPr>
      </w:pPr>
      <w:r>
        <w:rPr>
          <w:rFonts w:hint="eastAsia" w:ascii="楷体_GB2312" w:hAnsi="楷体_GB2312" w:eastAsia="楷体_GB2312" w:cs="楷体_GB2312"/>
          <w:b/>
          <w:bCs/>
          <w:szCs w:val="22"/>
          <w:lang w:val="en-US" w:eastAsia="zh-CN"/>
        </w:rPr>
        <w:t>（十四）提升执法水平</w:t>
      </w:r>
    </w:p>
    <w:p w14:paraId="3ADA9128">
      <w:pPr>
        <w:spacing w:line="240" w:lineRule="auto"/>
        <w:ind w:firstLine="640" w:firstLineChars="200"/>
        <w:jc w:val="both"/>
        <w:rPr>
          <w:rFonts w:hint="eastAsia" w:ascii="仿宋_GB2312" w:hAnsi="仿宋_GB2312" w:cs="仿宋_GB2312"/>
          <w:szCs w:val="32"/>
        </w:rPr>
      </w:pPr>
      <w:r>
        <w:rPr>
          <w:rFonts w:hint="eastAsia" w:ascii="仿宋_GB2312" w:hAnsi="仿宋_GB2312" w:cs="仿宋_GB2312"/>
          <w:szCs w:val="32"/>
          <w:lang w:eastAsia="zh-CN"/>
        </w:rPr>
        <w:t>1.落实执法改革，组建昌江区林业资源保护中心，加强执法队伍建设。</w:t>
      </w:r>
      <w:r>
        <w:rPr>
          <w:rFonts w:hint="eastAsia" w:ascii="仿宋_GB2312" w:hAnsi="仿宋_GB2312" w:cs="仿宋_GB2312"/>
          <w:b/>
          <w:bCs/>
          <w:szCs w:val="32"/>
        </w:rPr>
        <w:t>（责任单位：</w:t>
      </w:r>
      <w:r>
        <w:rPr>
          <w:rFonts w:hint="eastAsia" w:ascii="仿宋_GB2312" w:hAnsi="仿宋_GB2312" w:cs="仿宋_GB2312"/>
          <w:b/>
          <w:bCs/>
          <w:szCs w:val="32"/>
          <w:lang w:eastAsia="zh-CN"/>
        </w:rPr>
        <w:t>区</w:t>
      </w:r>
      <w:r>
        <w:rPr>
          <w:rFonts w:hint="eastAsia" w:ascii="仿宋_GB2312" w:hAnsi="仿宋_GB2312" w:cs="仿宋_GB2312"/>
          <w:b/>
          <w:bCs/>
          <w:szCs w:val="32"/>
        </w:rPr>
        <w:t>司法局、</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，202</w:t>
      </w:r>
      <w:r>
        <w:rPr>
          <w:rFonts w:hint="eastAsia" w:ascii="仿宋_GB2312" w:hAnsi="仿宋_GB2312" w:cs="仿宋_GB2312"/>
          <w:b/>
          <w:bCs/>
          <w:szCs w:val="32"/>
          <w:lang w:val="en-US" w:eastAsia="zh-CN"/>
        </w:rPr>
        <w:t>5</w:t>
      </w:r>
      <w:r>
        <w:rPr>
          <w:rFonts w:hint="eastAsia" w:ascii="仿宋_GB2312" w:hAnsi="仿宋_GB2312" w:cs="仿宋_GB2312"/>
          <w:b/>
          <w:bCs/>
          <w:szCs w:val="32"/>
        </w:rPr>
        <w:t>年底前完成）</w:t>
      </w:r>
    </w:p>
    <w:p w14:paraId="6EFD4F5D">
      <w:pPr>
        <w:spacing w:line="240" w:lineRule="auto"/>
        <w:ind w:firstLine="640" w:firstLineChars="200"/>
        <w:jc w:val="both"/>
        <w:rPr>
          <w:rFonts w:hint="eastAsia" w:ascii="仿宋_GB2312" w:hAnsi="仿宋_GB2312" w:cs="仿宋_GB2312"/>
          <w:b/>
          <w:bCs/>
          <w:szCs w:val="32"/>
        </w:rPr>
      </w:pPr>
      <w:r>
        <w:rPr>
          <w:rFonts w:hint="eastAsia" w:ascii="仿宋_GB2312" w:hAnsi="仿宋_GB2312" w:cs="仿宋_GB2312"/>
          <w:szCs w:val="32"/>
          <w:lang w:eastAsia="zh-CN"/>
        </w:rPr>
        <w:t>2.区</w:t>
      </w:r>
      <w:r>
        <w:rPr>
          <w:rFonts w:hint="eastAsia" w:ascii="仿宋_GB2312" w:hAnsi="仿宋_GB2312" w:cs="仿宋_GB2312"/>
          <w:szCs w:val="32"/>
        </w:rPr>
        <w:t>公安</w:t>
      </w:r>
      <w:r>
        <w:rPr>
          <w:rFonts w:hint="eastAsia" w:ascii="仿宋_GB2312" w:hAnsi="仿宋_GB2312" w:cs="仿宋_GB2312"/>
          <w:szCs w:val="32"/>
          <w:lang w:eastAsia="zh-CN"/>
        </w:rPr>
        <w:t>部门</w:t>
      </w:r>
      <w:r>
        <w:rPr>
          <w:rFonts w:hint="eastAsia" w:ascii="仿宋_GB2312" w:hAnsi="仿宋_GB2312" w:cs="仿宋_GB2312"/>
          <w:szCs w:val="32"/>
        </w:rPr>
        <w:t>要积极调度林业执法行刑衔接问题，保障森林公安执法力量。</w:t>
      </w:r>
      <w:r>
        <w:rPr>
          <w:rFonts w:hint="eastAsia" w:ascii="仿宋_GB2312" w:hAnsi="仿宋_GB2312" w:cs="仿宋_GB2312"/>
          <w:b/>
          <w:bCs/>
          <w:szCs w:val="32"/>
        </w:rPr>
        <w:t>（责任单位：</w:t>
      </w:r>
      <w:r>
        <w:rPr>
          <w:rFonts w:hint="eastAsia" w:ascii="仿宋_GB2312" w:hAnsi="仿宋_GB2312" w:cs="仿宋_GB2312"/>
          <w:b/>
          <w:bCs/>
          <w:szCs w:val="32"/>
          <w:lang w:eastAsia="zh-CN"/>
        </w:rPr>
        <w:t>昌江公安分</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林业局，</w:t>
      </w:r>
      <w:r>
        <w:rPr>
          <w:rFonts w:hint="eastAsia" w:ascii="仿宋_GB2312" w:hAnsi="仿宋_GB2312" w:cs="仿宋_GB2312"/>
          <w:b/>
          <w:bCs/>
          <w:szCs w:val="32"/>
          <w:lang w:val="en-US" w:eastAsia="zh-CN"/>
        </w:rPr>
        <w:t>持续推进</w:t>
      </w:r>
      <w:r>
        <w:rPr>
          <w:rFonts w:hint="eastAsia" w:ascii="仿宋_GB2312" w:hAnsi="仿宋_GB2312" w:cs="仿宋_GB2312"/>
          <w:b/>
          <w:bCs/>
          <w:szCs w:val="32"/>
        </w:rPr>
        <w:t>）</w:t>
      </w:r>
    </w:p>
    <w:p w14:paraId="4020AC73">
      <w:pPr>
        <w:spacing w:line="240" w:lineRule="auto"/>
        <w:ind w:firstLine="640" w:firstLineChars="200"/>
        <w:jc w:val="both"/>
        <w:rPr>
          <w:rFonts w:hint="eastAsia" w:ascii="仿宋_GB2312" w:hAnsi="仿宋_GB2312" w:cs="仿宋_GB2312"/>
          <w:b/>
          <w:bCs/>
          <w:szCs w:val="32"/>
          <w:lang w:eastAsia="zh-CN"/>
        </w:rPr>
      </w:pPr>
      <w:r>
        <w:rPr>
          <w:rFonts w:hint="eastAsia" w:ascii="仿宋_GB2312" w:hAnsi="仿宋_GB2312" w:cs="仿宋_GB2312"/>
          <w:szCs w:val="32"/>
          <w:lang w:eastAsia="zh-CN"/>
        </w:rPr>
        <w:t>3.</w:t>
      </w:r>
      <w:r>
        <w:rPr>
          <w:rFonts w:hint="eastAsia" w:ascii="仿宋_GB2312" w:hAnsi="仿宋_GB2312" w:cs="仿宋_GB2312"/>
          <w:szCs w:val="32"/>
        </w:rPr>
        <w:t>推进“林长+警长+检察长+院长”“四长联动”工作机制，强化林业行政执法联动协作</w:t>
      </w:r>
      <w:r>
        <w:rPr>
          <w:rFonts w:hint="eastAsia" w:ascii="仿宋_GB2312" w:hAnsi="仿宋_GB2312" w:cs="仿宋_GB2312"/>
          <w:szCs w:val="32"/>
          <w:lang w:eastAsia="zh-CN"/>
        </w:rPr>
        <w:t>，</w:t>
      </w:r>
      <w:r>
        <w:rPr>
          <w:rFonts w:hint="eastAsia" w:ascii="仿宋_GB2312" w:hAnsi="仿宋_GB2312" w:cs="仿宋_GB2312"/>
          <w:szCs w:val="32"/>
        </w:rPr>
        <w:t>加强行政执法与刑事司法、检察</w:t>
      </w:r>
      <w:r>
        <w:rPr>
          <w:rFonts w:hint="eastAsia" w:ascii="仿宋_GB2312" w:hAnsi="仿宋_GB2312" w:cs="仿宋_GB2312"/>
          <w:szCs w:val="32"/>
          <w:lang w:eastAsia="zh-CN"/>
        </w:rPr>
        <w:t>监督</w:t>
      </w:r>
      <w:r>
        <w:rPr>
          <w:rFonts w:hint="eastAsia" w:ascii="仿宋_GB2312" w:hAnsi="仿宋_GB2312" w:cs="仿宋_GB2312"/>
          <w:szCs w:val="32"/>
        </w:rPr>
        <w:t>衔接。</w:t>
      </w:r>
      <w:r>
        <w:rPr>
          <w:rFonts w:hint="eastAsia" w:ascii="仿宋_GB2312" w:hAnsi="仿宋_GB2312" w:cs="仿宋_GB2312"/>
          <w:b/>
          <w:bCs/>
          <w:szCs w:val="32"/>
          <w:lang w:eastAsia="zh-CN"/>
        </w:rPr>
        <w:t>（</w:t>
      </w:r>
      <w:r>
        <w:rPr>
          <w:rFonts w:hint="eastAsia" w:ascii="仿宋_GB2312" w:hAnsi="仿宋_GB2312" w:cs="仿宋_GB2312"/>
          <w:b/>
          <w:bCs/>
          <w:szCs w:val="32"/>
        </w:rPr>
        <w:t>责任单位：</w:t>
      </w:r>
      <w:r>
        <w:rPr>
          <w:rFonts w:hint="eastAsia" w:ascii="仿宋_GB2312" w:hAnsi="仿宋_GB2312" w:cs="仿宋_GB2312"/>
          <w:b/>
          <w:bCs/>
          <w:szCs w:val="32"/>
          <w:lang w:eastAsia="zh-CN"/>
        </w:rPr>
        <w:t>昌江公安分</w:t>
      </w:r>
      <w:r>
        <w:rPr>
          <w:rFonts w:hint="eastAsia" w:ascii="仿宋_GB2312" w:hAnsi="仿宋_GB2312" w:cs="仿宋_GB2312"/>
          <w:b/>
          <w:bCs/>
          <w:szCs w:val="32"/>
        </w:rPr>
        <w:t>局、</w:t>
      </w:r>
      <w:r>
        <w:rPr>
          <w:rFonts w:hint="eastAsia" w:ascii="仿宋_GB2312" w:hAnsi="仿宋_GB2312" w:cs="仿宋_GB2312"/>
          <w:b/>
          <w:bCs/>
          <w:szCs w:val="32"/>
          <w:lang w:eastAsia="zh-CN"/>
        </w:rPr>
        <w:t>区</w:t>
      </w:r>
      <w:r>
        <w:rPr>
          <w:rFonts w:hint="eastAsia" w:ascii="仿宋_GB2312" w:hAnsi="仿宋_GB2312" w:cs="仿宋_GB2312"/>
          <w:b/>
          <w:bCs/>
          <w:szCs w:val="32"/>
        </w:rPr>
        <w:t>检察院、</w:t>
      </w:r>
      <w:r>
        <w:rPr>
          <w:rFonts w:hint="eastAsia" w:ascii="仿宋_GB2312" w:hAnsi="仿宋_GB2312" w:cs="仿宋_GB2312"/>
          <w:b/>
          <w:bCs/>
          <w:szCs w:val="32"/>
          <w:lang w:eastAsia="zh-CN"/>
        </w:rPr>
        <w:t>区</w:t>
      </w:r>
      <w:r>
        <w:rPr>
          <w:rFonts w:hint="eastAsia" w:ascii="仿宋_GB2312" w:hAnsi="仿宋_GB2312" w:cs="仿宋_GB2312"/>
          <w:b/>
          <w:bCs/>
          <w:szCs w:val="32"/>
        </w:rPr>
        <w:t>法院、</w:t>
      </w:r>
      <w:r>
        <w:rPr>
          <w:rFonts w:hint="eastAsia" w:ascii="仿宋_GB2312" w:hAnsi="仿宋_GB2312" w:cs="仿宋_GB2312"/>
          <w:b/>
          <w:bCs/>
          <w:szCs w:val="32"/>
          <w:lang w:eastAsia="zh-CN"/>
        </w:rPr>
        <w:t>区</w:t>
      </w:r>
      <w:r>
        <w:rPr>
          <w:rFonts w:hint="eastAsia" w:ascii="仿宋_GB2312" w:hAnsi="仿宋_GB2312" w:cs="仿宋_GB2312"/>
          <w:b/>
          <w:bCs/>
          <w:szCs w:val="32"/>
        </w:rPr>
        <w:t>林业局、各乡镇</w:t>
      </w:r>
      <w:r>
        <w:rPr>
          <w:rFonts w:hint="eastAsia" w:ascii="仿宋_GB2312" w:hAnsi="仿宋_GB2312" w:cs="仿宋_GB2312"/>
          <w:b/>
          <w:bCs/>
          <w:szCs w:val="32"/>
          <w:lang w:eastAsia="zh-CN"/>
        </w:rPr>
        <w:t>（街道）</w:t>
      </w:r>
      <w:r>
        <w:rPr>
          <w:rFonts w:hint="eastAsia" w:ascii="仿宋_GB2312" w:hAnsi="仿宋_GB2312" w:cs="仿宋_GB2312"/>
          <w:b/>
          <w:bCs/>
          <w:szCs w:val="32"/>
        </w:rPr>
        <w:t>，</w:t>
      </w:r>
      <w:r>
        <w:rPr>
          <w:rFonts w:hint="eastAsia" w:ascii="仿宋_GB2312" w:hAnsi="仿宋_GB2312" w:cs="仿宋_GB2312"/>
          <w:b/>
          <w:bCs/>
          <w:szCs w:val="32"/>
          <w:lang w:val="en-US" w:eastAsia="zh-CN"/>
        </w:rPr>
        <w:t>持续推进</w:t>
      </w:r>
      <w:r>
        <w:rPr>
          <w:rFonts w:hint="eastAsia" w:ascii="仿宋_GB2312" w:hAnsi="仿宋_GB2312" w:cs="仿宋_GB2312"/>
          <w:b/>
          <w:bCs/>
          <w:szCs w:val="32"/>
          <w:lang w:eastAsia="zh-CN"/>
        </w:rPr>
        <w:t>）</w:t>
      </w:r>
    </w:p>
    <w:p w14:paraId="2A1DB83D">
      <w:pPr>
        <w:spacing w:line="240" w:lineRule="auto"/>
        <w:ind w:firstLine="640" w:firstLineChars="200"/>
        <w:jc w:val="both"/>
        <w:rPr>
          <w:rFonts w:hint="eastAsia" w:ascii="仿宋_GB2312" w:hAnsi="仿宋_GB2312" w:cs="仿宋_GB2312"/>
          <w:szCs w:val="32"/>
        </w:rPr>
      </w:pPr>
      <w:r>
        <w:rPr>
          <w:rFonts w:hint="eastAsia" w:ascii="仿宋_GB2312" w:hAnsi="仿宋_GB2312" w:cs="仿宋_GB2312"/>
          <w:szCs w:val="32"/>
        </w:rPr>
        <w:t>深化集体林权制度改革，是我们必须完成的一项重大政治任务，是全</w:t>
      </w:r>
      <w:r>
        <w:rPr>
          <w:rFonts w:hint="eastAsia" w:ascii="仿宋_GB2312" w:hAnsi="仿宋_GB2312" w:cs="仿宋_GB2312"/>
          <w:szCs w:val="32"/>
          <w:lang w:eastAsia="zh-CN"/>
        </w:rPr>
        <w:t>区</w:t>
      </w:r>
      <w:r>
        <w:rPr>
          <w:rFonts w:hint="eastAsia" w:ascii="仿宋_GB2312" w:hAnsi="仿宋_GB2312" w:cs="仿宋_GB2312"/>
          <w:szCs w:val="32"/>
        </w:rPr>
        <w:t>上下的共同责任。各部门、各乡镇</w:t>
      </w:r>
      <w:r>
        <w:rPr>
          <w:rFonts w:hint="eastAsia" w:ascii="仿宋_GB2312" w:hAnsi="仿宋_GB2312" w:cs="仿宋_GB2312"/>
          <w:szCs w:val="32"/>
          <w:lang w:eastAsia="zh-CN"/>
        </w:rPr>
        <w:t>、街道</w:t>
      </w:r>
      <w:r>
        <w:rPr>
          <w:rFonts w:hint="eastAsia" w:ascii="仿宋_GB2312" w:hAnsi="仿宋_GB2312" w:cs="仿宋_GB2312"/>
          <w:szCs w:val="32"/>
        </w:rPr>
        <w:t>党政“一把手”要把深化集体林权制度改革工作放在重要位置来抓，及时协调解决重大问题。各有关部门要尽快制定实施一批配套政策措施，加强协作、密切配合，各负其责推进工作落实，形成齐抓共管的合力。</w:t>
      </w:r>
      <w:r>
        <w:rPr>
          <w:rFonts w:hint="eastAsia" w:ascii="仿宋_GB2312" w:hAnsi="仿宋_GB2312" w:cs="仿宋_GB2312"/>
          <w:szCs w:val="32"/>
          <w:lang w:eastAsia="zh-CN"/>
        </w:rPr>
        <w:t>区</w:t>
      </w:r>
      <w:r>
        <w:rPr>
          <w:rFonts w:hint="eastAsia" w:ascii="仿宋_GB2312" w:hAnsi="仿宋_GB2312" w:cs="仿宋_GB2312"/>
          <w:szCs w:val="32"/>
        </w:rPr>
        <w:t>林业局要跟踪掌握深化集体林权制度改革的进展情况，对改革中出现的重要情况要及时向</w:t>
      </w:r>
      <w:r>
        <w:rPr>
          <w:rFonts w:hint="eastAsia" w:ascii="仿宋_GB2312" w:hAnsi="仿宋_GB2312" w:cs="仿宋_GB2312"/>
          <w:szCs w:val="32"/>
          <w:lang w:eastAsia="zh-CN"/>
        </w:rPr>
        <w:t>区</w:t>
      </w:r>
      <w:r>
        <w:rPr>
          <w:rFonts w:hint="eastAsia" w:ascii="仿宋_GB2312" w:hAnsi="仿宋_GB2312" w:cs="仿宋_GB2312"/>
          <w:szCs w:val="32"/>
        </w:rPr>
        <w:t>委、</w:t>
      </w:r>
      <w:r>
        <w:rPr>
          <w:rFonts w:hint="eastAsia" w:ascii="仿宋_GB2312" w:hAnsi="仿宋_GB2312" w:cs="仿宋_GB2312"/>
          <w:szCs w:val="32"/>
          <w:lang w:eastAsia="zh-CN"/>
        </w:rPr>
        <w:t>区</w:t>
      </w:r>
      <w:r>
        <w:rPr>
          <w:rFonts w:hint="eastAsia" w:ascii="仿宋_GB2312" w:hAnsi="仿宋_GB2312" w:cs="仿宋_GB2312"/>
          <w:szCs w:val="32"/>
        </w:rPr>
        <w:t>政府报告，确保全</w:t>
      </w:r>
      <w:r>
        <w:rPr>
          <w:rFonts w:hint="eastAsia" w:ascii="仿宋_GB2312" w:hAnsi="仿宋_GB2312" w:cs="仿宋_GB2312"/>
          <w:szCs w:val="32"/>
          <w:lang w:eastAsia="zh-CN"/>
        </w:rPr>
        <w:t>区</w:t>
      </w:r>
      <w:r>
        <w:rPr>
          <w:rFonts w:hint="eastAsia" w:ascii="仿宋_GB2312" w:hAnsi="仿宋_GB2312" w:cs="仿宋_GB2312"/>
          <w:szCs w:val="32"/>
        </w:rPr>
        <w:t>深化集体林权制度改革建设取得实效。</w:t>
      </w:r>
    </w:p>
    <w:p w14:paraId="298E9C20">
      <w:pPr>
        <w:pStyle w:val="2"/>
        <w:rPr>
          <w:rFonts w:hint="eastAsia" w:ascii="仿宋_GB2312" w:hAnsi="仿宋_GB2312" w:cs="仿宋_GB2312"/>
          <w:szCs w:val="32"/>
        </w:rPr>
      </w:pPr>
    </w:p>
    <w:p w14:paraId="7CAA984E">
      <w:pPr>
        <w:pStyle w:val="2"/>
        <w:rPr>
          <w:rFonts w:hint="eastAsia" w:ascii="仿宋_GB2312" w:hAnsi="仿宋_GB2312" w:cs="仿宋_GB2312"/>
          <w:szCs w:val="32"/>
        </w:rPr>
      </w:pPr>
    </w:p>
    <w:p w14:paraId="037F39BC">
      <w:pPr>
        <w:pStyle w:val="2"/>
        <w:rPr>
          <w:rFonts w:hint="eastAsia" w:ascii="仿宋_GB2312" w:hAnsi="仿宋_GB2312" w:cs="仿宋_GB2312"/>
          <w:szCs w:val="32"/>
        </w:rPr>
      </w:pPr>
    </w:p>
    <w:p w14:paraId="074203E2">
      <w:pPr>
        <w:pStyle w:val="2"/>
        <w:rPr>
          <w:rFonts w:hint="eastAsia" w:ascii="仿宋_GB2312" w:hAnsi="仿宋_GB2312" w:cs="仿宋_GB2312"/>
          <w:szCs w:val="32"/>
        </w:rPr>
      </w:pPr>
    </w:p>
    <w:p w14:paraId="4ED8E17B">
      <w:pPr>
        <w:pStyle w:val="2"/>
        <w:rPr>
          <w:rFonts w:hint="eastAsia" w:ascii="仿宋_GB2312" w:hAnsi="仿宋_GB2312" w:cs="仿宋_GB2312"/>
          <w:szCs w:val="32"/>
        </w:rPr>
      </w:pPr>
    </w:p>
    <w:p w14:paraId="230EB671">
      <w:pPr>
        <w:pStyle w:val="2"/>
        <w:rPr>
          <w:rFonts w:hint="eastAsia" w:ascii="仿宋_GB2312" w:hAnsi="仿宋_GB2312" w:cs="仿宋_GB2312"/>
          <w:szCs w:val="32"/>
        </w:rPr>
      </w:pPr>
    </w:p>
    <w:p w14:paraId="1A8B8BB7">
      <w:pPr>
        <w:pStyle w:val="2"/>
        <w:rPr>
          <w:rFonts w:hint="eastAsia" w:ascii="仿宋_GB2312" w:hAnsi="仿宋_GB2312" w:cs="仿宋_GB2312"/>
          <w:szCs w:val="32"/>
        </w:rPr>
      </w:pPr>
    </w:p>
    <w:p w14:paraId="2E1C98D2">
      <w:pPr>
        <w:pStyle w:val="2"/>
        <w:rPr>
          <w:rFonts w:hint="eastAsia" w:ascii="仿宋_GB2312" w:hAnsi="仿宋_GB2312" w:cs="仿宋_GB2312"/>
          <w:szCs w:val="32"/>
        </w:rPr>
      </w:pPr>
    </w:p>
    <w:p w14:paraId="35DD4921">
      <w:pPr>
        <w:pStyle w:val="2"/>
        <w:rPr>
          <w:rFonts w:hint="eastAsia" w:ascii="仿宋_GB2312" w:hAnsi="仿宋_GB2312" w:cs="仿宋_GB2312"/>
          <w:szCs w:val="32"/>
        </w:rPr>
      </w:pPr>
    </w:p>
    <w:p w14:paraId="5EEB4F8A">
      <w:pPr>
        <w:pStyle w:val="2"/>
        <w:rPr>
          <w:rFonts w:hint="eastAsia" w:ascii="仿宋_GB2312" w:hAnsi="仿宋_GB2312" w:cs="仿宋_GB2312"/>
          <w:szCs w:val="32"/>
        </w:rPr>
      </w:pPr>
    </w:p>
    <w:p w14:paraId="0DD23AFF">
      <w:pPr>
        <w:pStyle w:val="2"/>
        <w:rPr>
          <w:rFonts w:hint="eastAsia" w:ascii="仿宋_GB2312" w:hAnsi="仿宋_GB2312" w:cs="仿宋_GB2312"/>
          <w:szCs w:val="32"/>
        </w:rPr>
      </w:pPr>
    </w:p>
    <w:p w14:paraId="670D4385">
      <w:pPr>
        <w:pStyle w:val="2"/>
        <w:rPr>
          <w:rFonts w:hint="eastAsia" w:ascii="仿宋_GB2312" w:hAnsi="仿宋_GB2312" w:cs="仿宋_GB2312"/>
          <w:szCs w:val="32"/>
        </w:rPr>
      </w:pPr>
    </w:p>
    <w:p w14:paraId="48A672CD">
      <w:pPr>
        <w:pStyle w:val="2"/>
        <w:rPr>
          <w:rFonts w:hint="eastAsia" w:ascii="仿宋_GB2312" w:hAnsi="仿宋_GB2312" w:cs="仿宋_GB2312"/>
          <w:szCs w:val="32"/>
        </w:rPr>
      </w:pPr>
    </w:p>
    <w:p w14:paraId="0FAB50C5">
      <w:pPr>
        <w:pStyle w:val="2"/>
        <w:rPr>
          <w:rFonts w:hint="eastAsia" w:ascii="仿宋_GB2312" w:hAnsi="仿宋_GB2312" w:cs="仿宋_GB2312"/>
          <w:szCs w:val="32"/>
        </w:rPr>
      </w:pPr>
    </w:p>
    <w:p w14:paraId="4EEF5877">
      <w:pPr>
        <w:pStyle w:val="2"/>
        <w:rPr>
          <w:rFonts w:hint="eastAsia" w:ascii="仿宋_GB2312" w:hAnsi="仿宋_GB2312" w:cs="仿宋_GB2312"/>
          <w:szCs w:val="32"/>
        </w:rPr>
      </w:pPr>
    </w:p>
    <w:p w14:paraId="7BCD4DEE">
      <w:pPr>
        <w:pStyle w:val="2"/>
        <w:rPr>
          <w:rFonts w:hint="eastAsia" w:ascii="仿宋_GB2312" w:hAnsi="仿宋_GB2312" w:cs="仿宋_GB2312"/>
          <w:szCs w:val="32"/>
        </w:rPr>
      </w:pPr>
    </w:p>
    <w:p w14:paraId="6DEC77BF">
      <w:pPr>
        <w:pStyle w:val="2"/>
        <w:rPr>
          <w:rFonts w:hint="eastAsia" w:ascii="仿宋_GB2312" w:hAnsi="仿宋_GB2312" w:cs="仿宋_GB2312"/>
          <w:szCs w:val="32"/>
        </w:rPr>
      </w:pPr>
    </w:p>
    <w:p w14:paraId="744A7307">
      <w:pPr>
        <w:pStyle w:val="2"/>
        <w:rPr>
          <w:rFonts w:hint="eastAsia" w:ascii="仿宋_GB2312" w:hAnsi="仿宋_GB2312" w:cs="仿宋_GB2312"/>
          <w:szCs w:val="32"/>
        </w:rPr>
      </w:pPr>
    </w:p>
    <w:p w14:paraId="432D8861">
      <w:pPr>
        <w:pStyle w:val="2"/>
        <w:rPr>
          <w:rFonts w:hint="eastAsia" w:ascii="仿宋_GB2312" w:hAnsi="仿宋_GB2312" w:cs="仿宋_GB2312"/>
          <w:szCs w:val="32"/>
        </w:rPr>
      </w:pPr>
    </w:p>
    <w:p w14:paraId="3657A33B">
      <w:pPr>
        <w:pStyle w:val="2"/>
        <w:rPr>
          <w:rFonts w:hint="eastAsia" w:ascii="仿宋_GB2312" w:hAnsi="仿宋_GB2312" w:cs="仿宋_GB2312"/>
          <w:szCs w:val="32"/>
        </w:rPr>
      </w:pPr>
    </w:p>
    <w:p w14:paraId="6E8C17E2">
      <w:pPr>
        <w:pStyle w:val="2"/>
        <w:rPr>
          <w:rFonts w:hint="eastAsia" w:ascii="仿宋_GB2312" w:hAnsi="仿宋_GB2312" w:cs="仿宋_GB2312"/>
          <w:szCs w:val="32"/>
        </w:rPr>
      </w:pPr>
    </w:p>
    <w:p w14:paraId="2002ABE0">
      <w:pPr>
        <w:pStyle w:val="2"/>
        <w:rPr>
          <w:rFonts w:hint="eastAsia" w:ascii="仿宋_GB2312" w:hAnsi="仿宋_GB2312" w:cs="仿宋_GB2312"/>
          <w:szCs w:val="32"/>
        </w:rPr>
      </w:pPr>
    </w:p>
    <w:p w14:paraId="3760E213">
      <w:pPr>
        <w:pStyle w:val="2"/>
        <w:rPr>
          <w:rFonts w:hint="eastAsia" w:ascii="仿宋_GB2312" w:hAnsi="仿宋_GB2312" w:cs="仿宋_GB2312"/>
          <w:szCs w:val="32"/>
        </w:rPr>
      </w:pPr>
    </w:p>
    <w:p w14:paraId="5CF530A2">
      <w:pPr>
        <w:pStyle w:val="2"/>
        <w:rPr>
          <w:rFonts w:hint="eastAsia" w:ascii="仿宋_GB2312" w:hAnsi="仿宋_GB2312" w:cs="仿宋_GB2312"/>
          <w:szCs w:val="32"/>
        </w:rPr>
      </w:pPr>
    </w:p>
    <w:p w14:paraId="6976599C">
      <w:pPr>
        <w:pStyle w:val="2"/>
        <w:rPr>
          <w:rFonts w:hint="eastAsia" w:ascii="仿宋_GB2312" w:hAnsi="仿宋_GB2312" w:cs="仿宋_GB2312"/>
          <w:szCs w:val="32"/>
        </w:rPr>
      </w:pPr>
    </w:p>
    <w:p w14:paraId="4A2DB027">
      <w:pPr>
        <w:pStyle w:val="2"/>
        <w:rPr>
          <w:rFonts w:hint="eastAsia" w:ascii="仿宋_GB2312" w:hAnsi="仿宋_GB2312" w:cs="仿宋_GB2312"/>
          <w:szCs w:val="32"/>
        </w:rPr>
      </w:pPr>
    </w:p>
    <w:p w14:paraId="419BFCF8">
      <w:pPr>
        <w:pStyle w:val="2"/>
        <w:rPr>
          <w:rFonts w:hint="eastAsia" w:ascii="仿宋_GB2312" w:hAnsi="仿宋_GB2312" w:cs="仿宋_GB2312"/>
          <w:szCs w:val="32"/>
        </w:rPr>
      </w:pPr>
    </w:p>
    <w:p w14:paraId="186A35D1">
      <w:pPr>
        <w:pStyle w:val="2"/>
        <w:rPr>
          <w:rFonts w:hint="eastAsia" w:ascii="仿宋_GB2312" w:hAnsi="仿宋_GB2312" w:cs="仿宋_GB2312"/>
          <w:szCs w:val="32"/>
        </w:rPr>
      </w:pPr>
    </w:p>
    <w:p w14:paraId="2F8D7B68">
      <w:pPr>
        <w:pStyle w:val="2"/>
        <w:rPr>
          <w:rFonts w:hint="eastAsia" w:ascii="仿宋_GB2312" w:hAnsi="仿宋_GB2312" w:cs="仿宋_GB2312"/>
          <w:szCs w:val="32"/>
        </w:rPr>
      </w:pPr>
    </w:p>
    <w:p w14:paraId="54F6B573">
      <w:pPr>
        <w:pStyle w:val="2"/>
        <w:rPr>
          <w:rFonts w:hint="eastAsia" w:ascii="仿宋_GB2312" w:hAnsi="仿宋_GB2312" w:cs="仿宋_GB2312"/>
          <w:szCs w:val="32"/>
        </w:rPr>
      </w:pPr>
    </w:p>
    <w:p w14:paraId="4D715F74">
      <w:pPr>
        <w:pStyle w:val="2"/>
        <w:rPr>
          <w:rFonts w:hint="eastAsia" w:ascii="仿宋_GB2312" w:hAnsi="仿宋_GB2312" w:cs="仿宋_GB2312"/>
          <w:szCs w:val="32"/>
        </w:rPr>
      </w:pPr>
    </w:p>
    <w:p w14:paraId="5FEB5C10">
      <w:pPr>
        <w:pStyle w:val="2"/>
        <w:rPr>
          <w:rFonts w:hint="eastAsia" w:ascii="仿宋_GB2312" w:hAnsi="仿宋_GB2312" w:cs="仿宋_GB2312"/>
          <w:szCs w:val="32"/>
        </w:rPr>
      </w:pPr>
    </w:p>
    <w:p w14:paraId="12E78ACA">
      <w:pPr>
        <w:pStyle w:val="2"/>
        <w:rPr>
          <w:rFonts w:hint="eastAsia" w:ascii="仿宋_GB2312" w:hAnsi="仿宋_GB2312" w:cs="仿宋_GB2312"/>
          <w:szCs w:val="32"/>
        </w:rPr>
      </w:pPr>
    </w:p>
    <w:p w14:paraId="36F6AEAF">
      <w:pPr>
        <w:pStyle w:val="2"/>
        <w:rPr>
          <w:rFonts w:hint="eastAsia" w:ascii="仿宋_GB2312" w:hAnsi="仿宋_GB2312" w:cs="仿宋_GB2312"/>
          <w:szCs w:val="32"/>
        </w:rPr>
      </w:pPr>
    </w:p>
    <w:p w14:paraId="1451C0BB">
      <w:pPr>
        <w:pStyle w:val="2"/>
        <w:rPr>
          <w:rFonts w:hint="eastAsia" w:ascii="仿宋_GB2312" w:hAnsi="仿宋_GB2312" w:cs="仿宋_GB2312"/>
          <w:szCs w:val="32"/>
        </w:rPr>
      </w:pPr>
    </w:p>
    <w:p w14:paraId="3A4C83DD">
      <w:pPr>
        <w:pStyle w:val="2"/>
        <w:rPr>
          <w:rFonts w:hint="eastAsia"/>
        </w:rPr>
      </w:pPr>
    </w:p>
    <w:p w14:paraId="3A316CB7">
      <w:pPr>
        <w:pStyle w:val="2"/>
        <w:rPr>
          <w:rFonts w:hint="eastAsia"/>
        </w:rPr>
      </w:pPr>
    </w:p>
    <w:p w14:paraId="217B5E94">
      <w:pPr>
        <w:pStyle w:val="2"/>
        <w:rPr>
          <w:rFonts w:hint="eastAsia"/>
        </w:rPr>
      </w:pPr>
    </w:p>
    <w:p w14:paraId="7D524470">
      <w:pPr>
        <w:pStyle w:val="2"/>
        <w:ind w:left="0" w:leftChars="0" w:firstLine="0" w:firstLineChars="0"/>
        <w:rPr>
          <w:rFonts w:hint="eastAsia"/>
        </w:rPr>
      </w:pPr>
    </w:p>
    <w:p w14:paraId="304A27A6">
      <w:pPr>
        <w:pStyle w:val="12"/>
        <w:keepNext w:val="0"/>
        <w:keepLines w:val="0"/>
        <w:widowControl w:val="0"/>
        <w:shd w:val="clear" w:color="auto" w:fill="auto"/>
        <w:bidi w:val="0"/>
        <w:spacing w:before="0" w:after="0" w:line="581" w:lineRule="exact"/>
        <w:ind w:left="0" w:leftChars="0" w:right="0" w:firstLine="0" w:firstLineChars="0"/>
        <w:jc w:val="left"/>
        <w:rPr>
          <w:rFonts w:hint="eastAsia" w:ascii="仿宋_GB2312" w:hAnsi="仿宋_GB2312" w:eastAsia="仿宋_GB2312" w:cs="仿宋_GB2312"/>
          <w:color w:val="000000"/>
          <w:spacing w:val="0"/>
          <w:w w:val="100"/>
          <w:position w:val="0"/>
          <w:sz w:val="32"/>
          <w:szCs w:val="32"/>
          <w:shd w:val="clear" w:color="auto" w:fill="auto"/>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400050</wp:posOffset>
                </wp:positionV>
                <wp:extent cx="57912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5pt;margin-top:31.5pt;height:0pt;width:456pt;z-index:251661312;mso-width-relative:page;mso-height-relative:page;" filled="f" stroked="t" coordsize="21600,21600" o:gfxdata="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6QykzXAAAABwEA&#10;AA8AAAAAAAAAAQAgAAAAIgAAAGRycy9kb3ducmV2LnhtbFBLAQIUABQAAAAIAIdO4kDDAjnH4gEA&#10;ALIDAAAOAAAAAAAAAAEAIAAAACYBAABkcnMvZTJvRG9jLnhtbFBLBQYAAAAABgAGAFkBAAB6BQAA&#10;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57150</wp:posOffset>
                </wp:positionV>
                <wp:extent cx="5791200" cy="0"/>
                <wp:effectExtent l="0" t="6350" r="0" b="6350"/>
                <wp:wrapNone/>
                <wp:docPr id="2" name="直接连接符 2"/>
                <wp:cNvGraphicFramePr/>
                <a:graphic xmlns:a="http://schemas.openxmlformats.org/drawingml/2006/main">
                  <a:graphicData uri="http://schemas.microsoft.com/office/word/2010/wordprocessingShape">
                    <wps:wsp>
                      <wps:cNvCnPr/>
                      <wps:spPr>
                        <a:xfrm>
                          <a:off x="924560" y="9140190"/>
                          <a:ext cx="57912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9pt;margin-top:4.5pt;height:0pt;width:456pt;z-index:251660288;mso-width-relative:page;mso-height-relative:page;" filled="f" stroked="t" coordsize="21600,21600" o:gfxdata="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Yj&#10;a3DVAAAABgEAAA8AAAAAAAAAAQAgAAAAIgAAAGRycy9kb3ducmV2LnhtbFBLAQIUABQAAAAIAIdO&#10;4kAJvyGp7QEAAL0DAAAOAAAAAAAAAAEAIAAAACQBAABkcnMvZTJvRG9jLnhtbFBLBQYAAAAABgAG&#10;AFkBAACDBQ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color w:val="000000"/>
          <w:spacing w:val="0"/>
          <w:w w:val="100"/>
          <w:position w:val="0"/>
          <w:sz w:val="32"/>
          <w:szCs w:val="32"/>
          <w:shd w:val="clear" w:color="auto" w:fill="auto"/>
          <w:lang w:val="en-US" w:eastAsia="zh-CN"/>
        </w:rPr>
        <w:t>昌江区人民政府办公室                  2025年1月20日印发</w:t>
      </w:r>
    </w:p>
    <w:sectPr>
      <w:pgSz w:w="11906" w:h="16838"/>
      <w:pgMar w:top="1984" w:right="1304" w:bottom="187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panose1 w:val="02020500000000000000"/>
    <w:charset w:val="86"/>
    <w:family w:val="auto"/>
    <w:pitch w:val="default"/>
    <w:sig w:usb0="A00002FF" w:usb1="3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120FA">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306A7"/>
    <w:rsid w:val="02925D87"/>
    <w:rsid w:val="02FA1A1E"/>
    <w:rsid w:val="07507653"/>
    <w:rsid w:val="07E70B98"/>
    <w:rsid w:val="07EC7714"/>
    <w:rsid w:val="08236671"/>
    <w:rsid w:val="0BE612CD"/>
    <w:rsid w:val="0D322727"/>
    <w:rsid w:val="0DE940E8"/>
    <w:rsid w:val="0E4D3735"/>
    <w:rsid w:val="171319D1"/>
    <w:rsid w:val="177E4B8F"/>
    <w:rsid w:val="1D0F08F2"/>
    <w:rsid w:val="20E34C09"/>
    <w:rsid w:val="23F319F7"/>
    <w:rsid w:val="267855C2"/>
    <w:rsid w:val="28C75431"/>
    <w:rsid w:val="2FE246E0"/>
    <w:rsid w:val="33EB540C"/>
    <w:rsid w:val="35F33BA5"/>
    <w:rsid w:val="380A7A30"/>
    <w:rsid w:val="38E710A0"/>
    <w:rsid w:val="3B5A42BF"/>
    <w:rsid w:val="3CAE34DC"/>
    <w:rsid w:val="3EA40E16"/>
    <w:rsid w:val="3EDC5FE5"/>
    <w:rsid w:val="3F945D31"/>
    <w:rsid w:val="3FD4066F"/>
    <w:rsid w:val="400E70F3"/>
    <w:rsid w:val="43277352"/>
    <w:rsid w:val="46EC18EF"/>
    <w:rsid w:val="481F794B"/>
    <w:rsid w:val="4A195F36"/>
    <w:rsid w:val="4B761BF3"/>
    <w:rsid w:val="5249625D"/>
    <w:rsid w:val="544306A7"/>
    <w:rsid w:val="573645EB"/>
    <w:rsid w:val="5C532425"/>
    <w:rsid w:val="5EE96115"/>
    <w:rsid w:val="65BD407D"/>
    <w:rsid w:val="6CC00FF0"/>
    <w:rsid w:val="6D11684E"/>
    <w:rsid w:val="6EBE2B5A"/>
    <w:rsid w:val="73B81652"/>
    <w:rsid w:val="760522A8"/>
    <w:rsid w:val="761D7B63"/>
    <w:rsid w:val="76E42104"/>
    <w:rsid w:val="77D6135A"/>
    <w:rsid w:val="7C014C59"/>
    <w:rsid w:val="7C4E6C92"/>
    <w:rsid w:val="7FD4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left"/>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unhideWhenUsed/>
    <w:qFormat/>
    <w:uiPriority w:val="0"/>
    <w:pPr>
      <w:spacing w:line="560" w:lineRule="exact"/>
      <w:ind w:firstLine="640" w:firstLineChars="200"/>
    </w:pPr>
    <w:rPr>
      <w:rFonts w:ascii="Calibri" w:hAnsi="Calibri" w:eastAsia="方正仿宋简体"/>
      <w:sz w:val="32"/>
    </w:rPr>
  </w:style>
  <w:style w:type="paragraph" w:styleId="3">
    <w:name w:val="Body Text"/>
    <w:basedOn w:val="1"/>
    <w:next w:val="4"/>
    <w:unhideWhenUsed/>
    <w:qFormat/>
    <w:uiPriority w:val="0"/>
    <w:pPr>
      <w:spacing w:after="120"/>
    </w:pPr>
    <w:rPr>
      <w:kern w:val="0"/>
      <w:sz w:val="20"/>
      <w:szCs w:val="24"/>
    </w:rPr>
  </w:style>
  <w:style w:type="paragraph" w:customStyle="1" w:styleId="4">
    <w:name w:val="p0"/>
    <w:basedOn w:val="1"/>
    <w:qFormat/>
    <w:uiPriority w:val="0"/>
    <w:pPr>
      <w:widowControl/>
    </w:pPr>
    <w:rPr>
      <w:rFonts w:ascii="等线" w:hAnsi="等线" w:cs="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pBdr>
        <w:top w:val="none" w:color="auto" w:sz="0" w:space="0"/>
        <w:left w:val="none" w:color="auto" w:sz="0" w:space="0"/>
        <w:bottom w:val="none" w:color="auto" w:sz="0" w:space="0"/>
        <w:right w:val="none" w:color="auto" w:sz="0" w:space="0"/>
      </w:pBdr>
      <w:shd w:val="clear" w:fill="FFFFFF"/>
      <w:spacing w:line="560" w:lineRule="exact"/>
      <w:ind w:firstLine="880" w:firstLineChars="200"/>
    </w:pPr>
    <w:rPr>
      <w:rFonts w:ascii="仿宋_GB2312" w:hAnsi="仿宋_GB2312" w:eastAsia="仿宋_GB2312" w:cs="仿宋_GB2312"/>
      <w:kern w:val="0"/>
      <w:sz w:val="32"/>
      <w:szCs w:val="32"/>
      <w:lang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rPr>
  </w:style>
  <w:style w:type="paragraph" w:customStyle="1" w:styleId="12">
    <w:name w:val="正文文本1"/>
    <w:basedOn w:val="1"/>
    <w:qFormat/>
    <w:uiPriority w:val="0"/>
    <w:pPr>
      <w:widowControl w:val="0"/>
      <w:shd w:val="clear" w:color="auto" w:fill="auto"/>
      <w:spacing w:line="398" w:lineRule="auto"/>
      <w:ind w:firstLine="400"/>
    </w:pPr>
    <w:rPr>
      <w:rFonts w:ascii="宋体" w:hAnsi="宋体" w:eastAsia="宋体" w:cs="宋体"/>
      <w:sz w:val="30"/>
      <w:szCs w:val="30"/>
      <w:u w:val="none"/>
      <w:lang w:val="zh-CN" w:eastAsia="zh-CN" w:bidi="zh-CN"/>
    </w:rPr>
  </w:style>
  <w:style w:type="paragraph" w:customStyle="1" w:styleId="13">
    <w:name w:val="正文文本 (2)"/>
    <w:basedOn w:val="1"/>
    <w:qFormat/>
    <w:uiPriority w:val="0"/>
    <w:pPr>
      <w:widowControl w:val="0"/>
      <w:shd w:val="clear" w:color="auto" w:fill="auto"/>
      <w:spacing w:after="140" w:line="566" w:lineRule="exact"/>
      <w:jc w:val="center"/>
    </w:pPr>
    <w:rPr>
      <w:rFonts w:ascii="黑体" w:hAnsi="黑体" w:eastAsia="黑体" w:cs="黑体"/>
      <w:sz w:val="30"/>
      <w:szCs w:val="30"/>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4469</Words>
  <Characters>4579</Characters>
  <Lines>0</Lines>
  <Paragraphs>0</Paragraphs>
  <TotalTime>59</TotalTime>
  <ScaleCrop>false</ScaleCrop>
  <LinksUpToDate>false</LinksUpToDate>
  <CharactersWithSpaces>4646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2024-12-06T01:50:00Z</dcterms:created>
  <dc:creator>道道</dc:creator>
  <cp:lastModifiedBy>白真安</cp:lastModifiedBy>
  <cp:lastPrinted>2025-01-20T02:51:00Z</cp:lastPrinted>
  <dcterms:modified xsi:type="dcterms:W3CDTF">2025-01-20T03:19:48Z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82F0364AFC834683B57D21A7405D5418_13</vt:lpwstr>
  </property>
  <property fmtid="{D5CDD505-2E9C-101B-9397-08002B2CF9AE}" pid="4" name="KSOTemplateDocerSaveRecord">
    <vt:lpwstr>eyJoZGlkIjoiZmNmNWMwMzM0ODgwMWJlYjU1NGRjMzM1NDBlYmEyNjMiLCJ1c2VySWQiOiI0ODE0MTE5MTcifQ==</vt:lpwstr>
  </property>
</Properties>
</file>