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13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附件2</w:t>
      </w:r>
    </w:p>
    <w:p w14:paraId="25C3DF0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b w:val="0"/>
          <w:bCs w:val="0"/>
          <w:sz w:val="44"/>
          <w:szCs w:val="44"/>
          <w:lang w:val="en-US" w:eastAsia="zh-CN"/>
          <w14:ligatures w14:val="none"/>
        </w:rPr>
      </w:pPr>
      <w:bookmarkStart w:id="0" w:name="_GoBack"/>
    </w:p>
    <w:p w14:paraId="6D866CB6">
      <w:pPr>
        <w:pStyle w:val="3"/>
        <w:widowControl/>
        <w:shd w:val="clear" w:color="auto" w:fill="FFFFFF"/>
        <w:spacing w:beforeAutospacing="0" w:afterAutospacing="0" w:line="580" w:lineRule="exact"/>
        <w:jc w:val="center"/>
        <w:rPr>
          <w:rStyle w:val="6"/>
          <w:rFonts w:hint="eastAsia" w:ascii="宋体" w:hAnsi="宋体" w:eastAsia="宋体" w:cs="方正小标宋简体"/>
          <w:sz w:val="44"/>
          <w:szCs w:val="44"/>
          <w:shd w:val="clear" w:color="auto" w:fill="FFFFFF"/>
        </w:rPr>
      </w:pPr>
      <w:r>
        <w:rPr>
          <w:rStyle w:val="6"/>
          <w:rFonts w:hint="eastAsia" w:ascii="宋体" w:hAnsi="宋体" w:eastAsia="宋体" w:cs="方正小标宋简体"/>
          <w:sz w:val="44"/>
          <w:szCs w:val="44"/>
          <w:shd w:val="clear" w:color="auto" w:fill="FFFFFF"/>
        </w:rPr>
        <w:t>景德镇市昌江区精细化工和生物医药</w:t>
      </w:r>
    </w:p>
    <w:p w14:paraId="3E5260CE">
      <w:pPr>
        <w:pStyle w:val="3"/>
        <w:widowControl/>
        <w:shd w:val="clear" w:color="auto" w:fill="FFFFFF"/>
        <w:spacing w:beforeAutospacing="0" w:afterAutospacing="0" w:line="580" w:lineRule="exact"/>
        <w:jc w:val="center"/>
        <w:rPr>
          <w:rStyle w:val="6"/>
          <w:rFonts w:hint="eastAsia" w:ascii="宋体" w:hAnsi="宋体" w:eastAsia="宋体" w:cs="方正小标宋简体"/>
          <w:sz w:val="44"/>
          <w:szCs w:val="44"/>
          <w:shd w:val="clear" w:color="auto" w:fill="FFFFFF"/>
        </w:rPr>
      </w:pPr>
      <w:r>
        <w:rPr>
          <w:rStyle w:val="6"/>
          <w:rFonts w:hint="eastAsia" w:ascii="宋体" w:hAnsi="宋体" w:eastAsia="宋体" w:cs="方正小标宋简体"/>
          <w:sz w:val="44"/>
          <w:szCs w:val="44"/>
          <w:shd w:val="clear" w:color="auto" w:fill="FFFFFF"/>
        </w:rPr>
        <w:t>产业链现代化建设行动方案</w:t>
      </w:r>
    </w:p>
    <w:p w14:paraId="7ADFB156">
      <w:pPr>
        <w:pStyle w:val="3"/>
        <w:widowControl/>
        <w:shd w:val="clear" w:color="auto" w:fill="FFFFFF"/>
        <w:spacing w:beforeAutospacing="0" w:afterAutospacing="0" w:line="580" w:lineRule="exact"/>
        <w:jc w:val="center"/>
        <w:rPr>
          <w:rStyle w:val="6"/>
          <w:rFonts w:ascii="宋体" w:hAnsi="宋体" w:eastAsia="宋体" w:cs="方正小标宋简体"/>
          <w:sz w:val="44"/>
          <w:szCs w:val="44"/>
          <w:shd w:val="clear" w:color="auto" w:fill="FFFFFF"/>
        </w:rPr>
      </w:pPr>
      <w:r>
        <w:rPr>
          <w:rStyle w:val="6"/>
          <w:rFonts w:hint="eastAsia" w:ascii="宋体" w:hAnsi="宋体" w:eastAsia="宋体" w:cs="方正小标宋简体"/>
          <w:sz w:val="44"/>
          <w:szCs w:val="44"/>
          <w:shd w:val="clear" w:color="auto" w:fill="FFFFFF"/>
        </w:rPr>
        <w:t>（</w:t>
      </w:r>
      <w:r>
        <w:rPr>
          <w:rStyle w:val="6"/>
          <w:rFonts w:ascii="宋体" w:hAnsi="宋体" w:eastAsia="宋体" w:cs="方正小标宋简体"/>
          <w:sz w:val="44"/>
          <w:szCs w:val="44"/>
          <w:shd w:val="clear" w:color="auto" w:fill="FFFFFF"/>
        </w:rPr>
        <w:t>2024-2026年）</w:t>
      </w:r>
    </w:p>
    <w:bookmarkEnd w:id="0"/>
    <w:p w14:paraId="52B18CA1">
      <w:pPr>
        <w:pStyle w:val="3"/>
        <w:widowControl/>
        <w:shd w:val="clear" w:color="auto" w:fill="FFFFFF"/>
        <w:spacing w:beforeAutospacing="0" w:afterAutospacing="0" w:line="580" w:lineRule="exact"/>
        <w:jc w:val="center"/>
        <w:rPr>
          <w:rStyle w:val="6"/>
          <w:rFonts w:hint="eastAsia" w:ascii="宋体" w:hAnsi="宋体" w:eastAsia="宋体" w:cs="方正小标宋简体"/>
          <w:sz w:val="44"/>
          <w:szCs w:val="44"/>
          <w:shd w:val="clear" w:color="auto" w:fill="FFFFFF"/>
          <w:lang w:eastAsia="zh-CN"/>
        </w:rPr>
      </w:pPr>
    </w:p>
    <w:p w14:paraId="5DA093F4">
      <w:pPr>
        <w:ind w:firstLine="640" w:firstLineChars="200"/>
        <w:rPr>
          <w:rFonts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为进一步提升精细化工和生物医药产业链韧性、竞争力和安全水平，着力推动产业基础高级化、产业链现代化，推动全区精细化工和生物医药产业链高质量发展，特制定本行动方案。</w:t>
      </w:r>
    </w:p>
    <w:p w14:paraId="49AD3DB3">
      <w:pPr>
        <w:pStyle w:val="3"/>
        <w:widowControl/>
        <w:shd w:val="clear" w:color="auto" w:fill="FFFFFF"/>
        <w:spacing w:beforeAutospacing="0" w:afterAutospacing="0" w:line="580" w:lineRule="exact"/>
        <w:ind w:firstLine="643" w:firstLineChars="200"/>
        <w:rPr>
          <w:rFonts w:hint="eastAsia" w:ascii="黑体" w:hAnsi="黑体" w:eastAsia="黑体" w:cs="黑体"/>
          <w:b/>
          <w:bCs w:val="0"/>
          <w:sz w:val="32"/>
          <w:szCs w:val="32"/>
        </w:rPr>
      </w:pPr>
      <w:r>
        <w:rPr>
          <w:rStyle w:val="6"/>
          <w:rFonts w:hint="eastAsia" w:ascii="黑体" w:hAnsi="黑体" w:eastAsia="黑体" w:cs="黑体"/>
          <w:b/>
          <w:bCs w:val="0"/>
          <w:sz w:val="32"/>
          <w:szCs w:val="32"/>
          <w:shd w:val="clear" w:color="auto" w:fill="FFFFFF"/>
        </w:rPr>
        <w:t>一、总体要求</w:t>
      </w:r>
    </w:p>
    <w:p w14:paraId="64E60954">
      <w:pPr>
        <w:pStyle w:val="3"/>
        <w:widowControl/>
        <w:shd w:val="clear" w:color="auto" w:fill="FFFFFF"/>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以习近平新时代中国特色社会主义思想为指导，全面贯彻党的二十大和习近平总书记</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察江西重要讲话精神，以鱼山医药产业园为主平台，黑猫股份、富祥药业、景焦能源、凌富生物科技等龙头企业为重点，聚焦化工新材料、基础化工、生物医药等优势子产业链，按照强链、延链、补链、建链的要求，推动全区精细化工和生物医药产业链朝规模化、高端化、绿色化、智能化方向发展，全力提升全区精细化工和生物医药产业基础高级化、产业链现代化水平，做优做强精细化工和生物医药产业。</w:t>
      </w:r>
    </w:p>
    <w:p w14:paraId="0E8C01D5">
      <w:pPr>
        <w:pStyle w:val="3"/>
        <w:widowControl/>
        <w:shd w:val="clear" w:color="auto" w:fill="FFFFFF"/>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到2026年，精细化工和生物医药产业链强链、延链、补链、建链取得突破，全区精细化工和生物医药产业链营业收入突破200亿元。</w:t>
      </w:r>
    </w:p>
    <w:p w14:paraId="29B382B1">
      <w:pPr>
        <w:pStyle w:val="3"/>
        <w:widowControl/>
        <w:shd w:val="clear" w:color="auto" w:fill="FFFFFF"/>
        <w:spacing w:beforeAutospacing="0" w:afterAutospacing="0" w:line="580" w:lineRule="exact"/>
        <w:ind w:firstLine="643" w:firstLineChars="200"/>
        <w:rPr>
          <w:rStyle w:val="6"/>
          <w:rFonts w:hint="eastAsia" w:ascii="黑体" w:hAnsi="黑体" w:eastAsia="黑体" w:cs="黑体"/>
          <w:b/>
          <w:bCs w:val="0"/>
          <w:sz w:val="32"/>
          <w:szCs w:val="32"/>
          <w:shd w:val="clear" w:color="auto" w:fill="FFFFFF"/>
        </w:rPr>
      </w:pPr>
      <w:r>
        <w:rPr>
          <w:rStyle w:val="6"/>
          <w:rFonts w:hint="eastAsia" w:ascii="黑体" w:hAnsi="黑体" w:eastAsia="黑体" w:cs="黑体"/>
          <w:b/>
          <w:bCs w:val="0"/>
          <w:sz w:val="32"/>
          <w:szCs w:val="32"/>
          <w:shd w:val="clear" w:color="auto" w:fill="FFFFFF"/>
        </w:rPr>
        <w:t>二、主要举措</w:t>
      </w:r>
    </w:p>
    <w:p w14:paraId="042EE7C2">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仿宋_GB2312"/>
          <w:b/>
          <w:bCs/>
          <w:sz w:val="32"/>
          <w:szCs w:val="32"/>
          <w:shd w:val="clear" w:color="auto" w:fill="FFFFFF"/>
        </w:rPr>
        <w:t>（一）</w:t>
      </w:r>
      <w:r>
        <w:rPr>
          <w:rStyle w:val="6"/>
          <w:rFonts w:hint="eastAsia" w:ascii="楷体" w:hAnsi="楷体" w:eastAsia="楷体" w:cs="楷体"/>
          <w:sz w:val="32"/>
          <w:szCs w:val="27"/>
          <w:shd w:val="clear" w:color="auto" w:fill="FFFFFF"/>
        </w:rPr>
        <w:t>实施强链、延链、补链、建链行动，提升产业链现代化水平。</w:t>
      </w:r>
      <w:r>
        <w:rPr>
          <w:rFonts w:hint="eastAsia" w:ascii="仿宋_GB2312" w:hAnsi="仿宋_GB2312" w:eastAsia="仿宋_GB2312" w:cs="仿宋_GB2312"/>
          <w:sz w:val="32"/>
          <w:szCs w:val="32"/>
        </w:rPr>
        <w:t>抢抓大力发展“新三样”产业机遇，支持企业向新能源、新材料领域延伸布局。依托富祥药业产业基础，吸引生物医药大企业、大集团前来合作投资，引进能力强、税收贡献大的配套型中小企业，不断推动生物医药产业向集群化、规模化方向发展。</w:t>
      </w:r>
      <w:r>
        <w:rPr>
          <w:rFonts w:hint="eastAsia" w:ascii="仿宋_GB2312" w:hAnsi="仿宋_GB2312" w:eastAsia="仿宋_GB2312" w:cs="仿宋_GB2312"/>
          <w:sz w:val="32"/>
          <w:szCs w:val="32"/>
          <w:shd w:val="clear" w:color="auto" w:fill="FFFFFF"/>
        </w:rPr>
        <w:t>以鱼山医药产业园为主平台，不断推进以景焦能源等企业为龙头的基础化工产业链、以黑猫股份等企业为龙头的新材料产业链、以富祥药业、凌富生物科技等企业为龙头的生物医药产业链向高端升级。实施产业链精准招商，</w:t>
      </w:r>
      <w:r>
        <w:rPr>
          <w:rFonts w:hint="eastAsia" w:ascii="仿宋_GB2312" w:eastAsia="仿宋_GB2312"/>
          <w:sz w:val="32"/>
          <w:szCs w:val="32"/>
        </w:rPr>
        <w:t>围绕行业龙头企业，积极谋划</w:t>
      </w:r>
      <w:r>
        <w:rPr>
          <w:rFonts w:hint="eastAsia" w:ascii="仿宋_GB2312" w:hAnsi="仿宋_GB2312" w:eastAsia="仿宋_GB2312" w:cs="仿宋_GB2312"/>
          <w:sz w:val="32"/>
          <w:szCs w:val="32"/>
          <w:shd w:val="clear" w:color="auto" w:fill="FFFFFF"/>
        </w:rPr>
        <w:t>引进一批与之关联度较大或者上下游的好企业、好项目，</w:t>
      </w:r>
      <w:r>
        <w:rPr>
          <w:rFonts w:hint="eastAsia" w:ascii="仿宋_GB2312" w:eastAsia="仿宋_GB2312"/>
          <w:sz w:val="32"/>
          <w:szCs w:val="32"/>
        </w:rPr>
        <w:t>力争</w:t>
      </w:r>
      <w:r>
        <w:rPr>
          <w:rFonts w:hint="eastAsia" w:ascii="仿宋_GB2312" w:hAnsi="仿宋_GB2312" w:eastAsia="仿宋_GB2312" w:cs="仿宋_GB2312"/>
          <w:sz w:val="32"/>
          <w:szCs w:val="32"/>
          <w:shd w:val="clear" w:color="auto" w:fill="FFFFFF"/>
        </w:rPr>
        <w:t>打通从研发、生产、配套、销售到服务各个环节，</w:t>
      </w:r>
      <w:r>
        <w:rPr>
          <w:rFonts w:hint="eastAsia" w:ascii="仿宋_GB2312" w:eastAsia="仿宋_GB2312"/>
          <w:sz w:val="32"/>
          <w:szCs w:val="32"/>
        </w:rPr>
        <w:t>推进产业链优化整合。</w:t>
      </w:r>
      <w:r>
        <w:rPr>
          <w:rFonts w:hint="eastAsia" w:ascii="仿宋_GB2312" w:hAnsi="仿宋_GB2312" w:eastAsia="仿宋_GB2312" w:cs="仿宋_GB2312"/>
          <w:sz w:val="32"/>
          <w:szCs w:val="32"/>
          <w:shd w:val="clear" w:color="auto" w:fill="FFFFFF"/>
        </w:rPr>
        <w:t>鼓励成长性好、发展潜力大的“专精特新”中小企业与龙头企业建立稳定的合作关系，突破一批关键化工材料和重要原材料的供应瓶颈，提高精细化工和生物医药产业链供应链配套水平。</w:t>
      </w:r>
    </w:p>
    <w:p w14:paraId="653151E2">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Style w:val="6"/>
          <w:rFonts w:hint="eastAsia" w:ascii="楷体" w:hAnsi="楷体" w:eastAsia="楷体" w:cs="楷体"/>
          <w:sz w:val="32"/>
          <w:szCs w:val="27"/>
          <w:shd w:val="clear" w:color="auto" w:fill="FFFFFF"/>
        </w:rPr>
        <w:t>（二）实施龙头企业培育行动，推进企业梯次提升。</w:t>
      </w:r>
      <w:r>
        <w:rPr>
          <w:rFonts w:hint="eastAsia" w:ascii="仿宋_GB2312" w:hAnsi="仿宋_GB2312" w:eastAsia="仿宋_GB2312" w:cs="仿宋_GB2312"/>
          <w:sz w:val="32"/>
          <w:szCs w:val="32"/>
          <w:shd w:val="clear" w:color="auto" w:fill="FFFFFF"/>
        </w:rPr>
        <w:t>支持发展基础好、科技实力强，具有行业领先技术的精细化工和生物医药企业做大做强，</w:t>
      </w:r>
      <w:r>
        <w:rPr>
          <w:rFonts w:ascii="仿宋_GB2312" w:hAnsi="仿宋_GB2312" w:eastAsia="仿宋_GB2312" w:cs="仿宋_GB2312"/>
          <w:sz w:val="32"/>
          <w:szCs w:val="32"/>
          <w:shd w:val="clear" w:color="auto" w:fill="FFFFFF"/>
        </w:rPr>
        <w:t>建立重点培育清单，</w:t>
      </w:r>
      <w:r>
        <w:rPr>
          <w:rFonts w:hint="eastAsia" w:ascii="仿宋_GB2312" w:hAnsi="仿宋_GB2312" w:eastAsia="仿宋_GB2312" w:cs="仿宋_GB2312"/>
          <w:sz w:val="32"/>
          <w:szCs w:val="32"/>
          <w:shd w:val="clear" w:color="auto" w:fill="FFFFFF"/>
        </w:rPr>
        <w:t>实施</w:t>
      </w:r>
      <w:r>
        <w:rPr>
          <w:rFonts w:ascii="仿宋_GB2312" w:hAnsi="仿宋_GB2312" w:eastAsia="仿宋_GB2312" w:cs="仿宋_GB2312"/>
          <w:sz w:val="32"/>
          <w:szCs w:val="32"/>
          <w:shd w:val="clear" w:color="auto" w:fill="FFFFFF"/>
        </w:rPr>
        <w:t>一企一策</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打造一批链主企业。</w:t>
      </w:r>
      <w:r>
        <w:rPr>
          <w:rFonts w:hint="eastAsia" w:ascii="仿宋_GB2312" w:hAnsi="仿宋_GB2312" w:eastAsia="仿宋_GB2312" w:cs="仿宋_GB2312"/>
          <w:sz w:val="32"/>
          <w:szCs w:val="32"/>
          <w:shd w:val="clear" w:color="auto" w:fill="FFFFFF"/>
        </w:rPr>
        <w:t>支持黑猫股份、富祥药业等企业，通过兼并重组和技术改造，拓展发展空间，成为在精细化工和生物医药全领域产业链关键节点上的骨干企业。全面排查摸清全区具有成长潜力的精细化工和生物医药企业资源，健全全区“小升规”企业培育库，及时将达到要求的企业入规入统，做到应入尽入。深入开展创新型中小企业、“专精特新”中小企业、“小巨人”企业、制造业单项冠军企业培育工作，鼓励中小企业围绕产业链上下游走专精特新发展道路。</w:t>
      </w:r>
    </w:p>
    <w:p w14:paraId="25E9A213">
      <w:pPr>
        <w:pStyle w:val="2"/>
        <w:spacing w:line="600" w:lineRule="exact"/>
        <w:ind w:firstLine="643"/>
        <w:rPr>
          <w:rFonts w:hint="default" w:ascii="仿宋_GB2312" w:hAnsi="仿宋_GB2312" w:eastAsia="仿宋_GB2312" w:cs="仿宋_GB2312"/>
          <w:b/>
          <w:bCs/>
          <w:sz w:val="32"/>
          <w:szCs w:val="32"/>
        </w:rPr>
      </w:pPr>
      <w:r>
        <w:rPr>
          <w:rStyle w:val="6"/>
          <w:rFonts w:ascii="楷体" w:hAnsi="楷体" w:eastAsia="楷体" w:cs="楷体"/>
          <w:sz w:val="32"/>
          <w:szCs w:val="27"/>
          <w:shd w:val="clear" w:color="auto" w:fill="FFFFFF"/>
        </w:rPr>
        <w:t>（三）实施产业科研及公共服务平台创建行动，增强科技创新能力。</w:t>
      </w:r>
      <w:r>
        <w:rPr>
          <w:rFonts w:ascii="仿宋_GB2312" w:hAnsi="仿宋_GB2312" w:eastAsia="仿宋_GB2312" w:cs="仿宋_GB2312"/>
          <w:sz w:val="32"/>
          <w:szCs w:val="32"/>
          <w:shd w:val="clear" w:color="auto" w:fill="FFFFFF"/>
        </w:rPr>
        <w:t>支持链主企业建设国家级、省级和市级企业技术中心、工程技术研究中心等创新平台。鼓励高校、化工科研院所与园区及大型骨干企业强强联合，组建产业技术创新战略联盟。</w:t>
      </w:r>
      <w:r>
        <w:rPr>
          <w:rFonts w:ascii="仿宋_GB2312" w:hAnsi="仿宋_GB2312" w:eastAsia="仿宋_GB2312" w:cs="仿宋_GB2312"/>
          <w:sz w:val="32"/>
          <w:szCs w:val="32"/>
        </w:rPr>
        <w:t>整合创新资源，做强“科创飞地”，建好富祥研究院、富祥药业-江南大学微生物蛋白联合研究中心等研发平台。积极对接省现代产业引导基金、省科创基金，构建科技创新联合体，推动“科技、产业、金融”良性循环。</w:t>
      </w:r>
      <w:r>
        <w:rPr>
          <w:rFonts w:ascii="仿宋_GB2312" w:hAnsi="仿宋_GB2312" w:eastAsia="仿宋_GB2312" w:cs="仿宋_GB2312"/>
          <w:sz w:val="32"/>
          <w:szCs w:val="32"/>
          <w:shd w:val="clear" w:color="auto" w:fill="FFFFFF"/>
        </w:rPr>
        <w:t>搭建链条企业技术交流、产销对接、创新活动平台，引进、深化新一代信息技术在精细化工和生物医药产业中的应用。推进一批智能制造单元、数字化车间、智能工厂建设，推动精细化工和生物医药产业朝着集约化、智能化的方向发展。</w:t>
      </w:r>
    </w:p>
    <w:p w14:paraId="0F7A6F6F">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Style w:val="6"/>
          <w:rFonts w:hint="eastAsia" w:ascii="楷体" w:hAnsi="楷体" w:eastAsia="楷体" w:cs="楷体"/>
          <w:sz w:val="32"/>
          <w:szCs w:val="27"/>
          <w:shd w:val="clear" w:color="auto" w:fill="FFFFFF"/>
        </w:rPr>
        <w:t>（四）实施技术改造行动，推进绿色安全发展。</w:t>
      </w:r>
      <w:r>
        <w:rPr>
          <w:rFonts w:hint="eastAsia" w:ascii="仿宋_GB2312" w:hAnsi="仿宋_GB2312" w:eastAsia="仿宋_GB2312" w:cs="仿宋_GB2312"/>
          <w:sz w:val="32"/>
          <w:szCs w:val="32"/>
          <w:shd w:val="clear" w:color="auto" w:fill="FFFFFF"/>
        </w:rPr>
        <w:t>推进精细化工和生物医药产业碳达峰，指导重点精细化工和生物医药企业制定碳达峰工作方案。鼓励景焦能源等重点基础化工和富祥药业等重点生物医药企业加快生产工艺流程改造，推广绿色制造新技术、新工艺、新装备，推进清洁能源替代，提升余热回收水平，优化能源梯度利用，推动单位产品能耗持续下降。推广新工艺、新设备，实现全产业链绿色清洁生产，鼓励企业创建绿色工厂、节水型企业。鼓励精细化工和医药企业加强资源综合利用，倡导“资源</w:t>
      </w:r>
      <w:r>
        <w:rPr>
          <w:rFonts w:ascii="仿宋_GB2312" w:hAnsi="仿宋_GB2312" w:eastAsia="仿宋_GB2312" w:cs="仿宋_GB2312"/>
          <w:sz w:val="32"/>
          <w:szCs w:val="32"/>
          <w:shd w:val="clear" w:color="auto" w:fill="FFFFFF"/>
        </w:rPr>
        <w:t>-产品-再生资源”的发展模式，加强企业精益管理，从源头上减少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三废</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产生。</w:t>
      </w:r>
      <w:r>
        <w:rPr>
          <w:rFonts w:hint="eastAsia" w:ascii="仿宋_GB2312" w:hAnsi="仿宋_GB2312" w:eastAsia="仿宋_GB2312" w:cs="仿宋_GB2312"/>
          <w:sz w:val="32"/>
          <w:szCs w:val="32"/>
          <w:shd w:val="clear" w:color="auto" w:fill="FFFFFF"/>
        </w:rPr>
        <w:t>严格项目准入，</w:t>
      </w:r>
      <w:r>
        <w:rPr>
          <w:rFonts w:ascii="仿宋_GB2312" w:hAnsi="仿宋_GB2312" w:eastAsia="仿宋_GB2312" w:cs="仿宋_GB2312"/>
          <w:sz w:val="32"/>
          <w:szCs w:val="32"/>
          <w:shd w:val="clear" w:color="auto" w:fill="FFFFFF"/>
        </w:rPr>
        <w:t>淘汰一批生产能耗较大、环境污染严重、附加值较低的企业</w:t>
      </w:r>
      <w:r>
        <w:rPr>
          <w:rFonts w:hint="eastAsia" w:ascii="仿宋_GB2312" w:hAnsi="仿宋_GB2312" w:eastAsia="仿宋_GB2312" w:cs="仿宋_GB2312"/>
          <w:sz w:val="32"/>
          <w:szCs w:val="32"/>
          <w:shd w:val="clear" w:color="auto" w:fill="FFFFFF"/>
        </w:rPr>
        <w:t>。全面推行循环生产方式，从基础设计到生产运营阶段，全流程推动技术、工艺、装备的不断升级进步，构建循环经济产业链。</w:t>
      </w:r>
    </w:p>
    <w:p w14:paraId="2B37BCC0">
      <w:pPr>
        <w:pStyle w:val="3"/>
        <w:widowControl/>
        <w:shd w:val="clear" w:color="auto" w:fill="FFFFFF"/>
        <w:spacing w:beforeAutospacing="0" w:afterAutospacing="0" w:line="580" w:lineRule="exact"/>
        <w:ind w:firstLine="643" w:firstLineChars="200"/>
        <w:rPr>
          <w:rStyle w:val="6"/>
          <w:rFonts w:hint="eastAsia" w:ascii="黑体" w:hAnsi="黑体" w:eastAsia="黑体" w:cs="黑体"/>
          <w:b/>
          <w:bCs w:val="0"/>
          <w:sz w:val="32"/>
          <w:szCs w:val="32"/>
          <w:shd w:val="clear" w:color="auto" w:fill="FFFFFF"/>
        </w:rPr>
      </w:pPr>
      <w:r>
        <w:rPr>
          <w:rStyle w:val="6"/>
          <w:rFonts w:hint="eastAsia" w:ascii="黑体" w:hAnsi="黑体" w:eastAsia="黑体" w:cs="黑体"/>
          <w:b/>
          <w:bCs w:val="0"/>
          <w:sz w:val="32"/>
          <w:szCs w:val="32"/>
          <w:shd w:val="clear" w:color="auto" w:fill="FFFFFF"/>
        </w:rPr>
        <w:t>三、组织实施</w:t>
      </w:r>
    </w:p>
    <w:p w14:paraId="77167AA2">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(一)</w:t>
      </w:r>
      <w:r>
        <w:rPr>
          <w:rFonts w:hint="eastAsia" w:ascii="楷体" w:hAnsi="楷体" w:eastAsia="楷体" w:cs="仿宋_GB2312"/>
          <w:b/>
          <w:bCs/>
          <w:sz w:val="32"/>
          <w:szCs w:val="32"/>
          <w:shd w:val="clear" w:color="auto" w:fill="FFFFFF"/>
        </w:rPr>
        <w:t>强化组织领导。</w:t>
      </w:r>
      <w:r>
        <w:rPr>
          <w:rFonts w:hint="eastAsia" w:ascii="仿宋_GB2312" w:hAnsi="仿宋_GB2312" w:eastAsia="仿宋_GB2312" w:cs="仿宋_GB2312"/>
          <w:sz w:val="32"/>
          <w:szCs w:val="32"/>
          <w:shd w:val="clear" w:color="auto" w:fill="FFFFFF"/>
        </w:rPr>
        <w:t>全面落实《关于实施昌江区产业链链长制工作方案》，充分发挥区精细化工和生物医药产业链链长制工作机制，建立产业部门协调机制，形成职责明晰、协同推进的工作格局。实行工作例会和联席会议制度，定期研究精细化工和生物医药产业发展中的重大事项和问题。</w:t>
      </w:r>
    </w:p>
    <w:p w14:paraId="2922F195">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 xml:space="preserve"> (二)</w:t>
      </w:r>
      <w:r>
        <w:rPr>
          <w:rFonts w:hint="eastAsia" w:ascii="楷体" w:hAnsi="楷体" w:eastAsia="楷体" w:cs="仿宋_GB2312"/>
          <w:b/>
          <w:bCs/>
          <w:sz w:val="32"/>
          <w:szCs w:val="32"/>
          <w:shd w:val="clear" w:color="auto" w:fill="FFFFFF"/>
        </w:rPr>
        <w:t>强化政策扶持。</w:t>
      </w:r>
      <w:r>
        <w:rPr>
          <w:rFonts w:hint="eastAsia" w:ascii="仿宋_GB2312" w:hAnsi="仿宋_GB2312" w:eastAsia="仿宋_GB2312" w:cs="仿宋_GB2312"/>
          <w:sz w:val="32"/>
          <w:szCs w:val="32"/>
          <w:shd w:val="clear" w:color="auto" w:fill="FFFFFF"/>
        </w:rPr>
        <w:t>坚持问题导向，突出精准施策，利用现有产业政策、专项扶持资金等，着力支持精细化工和生物医药产业链重点企业、项目、载体平台等。在规划审批、土地供应、基础设施配套、财政金融、行业监管等方面加强指导和政策支持力度，持续完善优化政策实施方式。</w:t>
      </w:r>
    </w:p>
    <w:p w14:paraId="7907638B">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(三)强化人才支撑</w:t>
      </w:r>
      <w:r>
        <w:rPr>
          <w:rFonts w:hint="eastAsia" w:ascii="楷体" w:hAnsi="楷体" w:eastAsia="楷体" w:cs="仿宋_GB2312"/>
          <w:b/>
          <w:bCs/>
          <w:sz w:val="32"/>
          <w:szCs w:val="32"/>
          <w:shd w:val="clear" w:color="auto" w:fill="FFFFFF"/>
        </w:rPr>
        <w:t>。</w:t>
      </w:r>
      <w:r>
        <w:rPr>
          <w:rFonts w:hint="eastAsia" w:ascii="仿宋_GB2312" w:hAnsi="仿宋_GB2312" w:eastAsia="仿宋_GB2312" w:cs="仿宋_GB2312"/>
          <w:sz w:val="32"/>
          <w:szCs w:val="32"/>
          <w:shd w:val="clear" w:color="auto" w:fill="FFFFFF"/>
        </w:rPr>
        <w:t>用足用活用好省、市人才政策，培育和引进精细化工和生物医药产业高端人才，强化专业人才队伍建设。分层次培养产业现代化领军人才、中高级经营管理人才和专业技术人才。鼓励产业园区、龙头企业与高校共建人才实训基地，开展产业从业人员在职培训，打造高技能产业技术人才队伍。</w:t>
      </w:r>
    </w:p>
    <w:p w14:paraId="4C6CC1D1">
      <w:pPr>
        <w:pStyle w:val="3"/>
        <w:widowControl/>
        <w:shd w:val="clear" w:color="auto" w:fill="FFFFFF"/>
        <w:spacing w:beforeAutospacing="0" w:afterAutospacing="0" w:line="580" w:lineRule="exact"/>
        <w:ind w:firstLine="643" w:firstLineChars="200"/>
        <w:rPr>
          <w:rFonts w:hint="eastAsia" w:ascii="仿宋_GB2312" w:hAnsi="仿宋_GB2312" w:eastAsia="仿宋_GB2312" w:cs="仿宋_GB2312"/>
          <w:sz w:val="32"/>
          <w:szCs w:val="32"/>
          <w:shd w:val="clear" w:color="auto" w:fill="FFFFFF"/>
        </w:rPr>
      </w:pPr>
      <w:r>
        <w:rPr>
          <w:rFonts w:hint="eastAsia" w:ascii="楷体" w:hAnsi="楷体" w:eastAsia="楷体" w:cs="仿宋_GB2312"/>
          <w:b/>
          <w:bCs/>
          <w:sz w:val="32"/>
          <w:szCs w:val="32"/>
          <w:shd w:val="clear" w:color="auto" w:fill="FFFFFF"/>
        </w:rPr>
        <w:t>（四）强化安全底线。</w:t>
      </w:r>
      <w:r>
        <w:rPr>
          <w:rFonts w:hint="eastAsia" w:ascii="仿宋_GB2312" w:hAnsi="仿宋_GB2312" w:eastAsia="仿宋_GB2312" w:cs="仿宋_GB2312"/>
          <w:sz w:val="32"/>
          <w:szCs w:val="32"/>
          <w:shd w:val="clear" w:color="auto" w:fill="FFFFFF"/>
        </w:rPr>
        <w:t>牢固树立安全发展理念，统筹安全与发展，狠抓源头预防管控，推动落实企业安全生产主体责任，督促企业不断加大安全投入和技术改造力度，大力提升企业本质安全水平。</w:t>
      </w:r>
    </w:p>
    <w:p w14:paraId="643C00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5C1955B5"/>
    <w:rsid w:val="5C19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hint="eastAsia" w:ascii="Times New Roman" w:hAnsi="Times New Roman" w:eastAsiaTheme="minorEastAsia" w:cstheme="minorBidi"/>
      <w:kern w:val="2"/>
      <w:sz w:val="21"/>
      <w:szCs w:val="24"/>
      <w:lang w:val="en-US" w:eastAsia="zh-CN" w:bidi="ar-SA"/>
      <w14:ligatures w14:val="none"/>
    </w:rPr>
  </w:style>
  <w:style w:type="paragraph" w:styleId="3">
    <w:name w:val="Normal (Web)"/>
    <w:basedOn w:val="1"/>
    <w:qFormat/>
    <w:uiPriority w:val="0"/>
    <w:pPr>
      <w:spacing w:beforeAutospacing="1" w:afterAutospacing="1"/>
      <w:jc w:val="left"/>
    </w:pPr>
    <w:rPr>
      <w:rFonts w:cs="Times New Roman"/>
      <w:kern w:val="0"/>
      <w:sz w:val="24"/>
      <w:szCs w:val="24"/>
      <w14:ligatures w14:val="none"/>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2024-08-22T02:15:00Z</dcterms:created>
  <dc:creator>Administrator</dc:creator>
  <cp:lastModifiedBy>Administrator</cp:lastModifiedBy>
  <dcterms:modified xsi:type="dcterms:W3CDTF">2024-08-22T02:16:24Z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B20FC97C9067423FB7129677C9D6A629_11</vt:lpwstr>
  </property>
</Properties>
</file>