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64B77">
      <w:pPr>
        <w:pStyle w:val="2"/>
        <w:widowControl/>
        <w:shd w:val="clear" w:color="auto" w:fill="FFFFFF"/>
        <w:spacing w:beforeAutospacing="0" w:afterAutospacing="0" w:line="58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附件3</w:t>
      </w:r>
    </w:p>
    <w:p w14:paraId="390F108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5A29CD">
      <w:pPr>
        <w:widowControl/>
        <w:shd w:val="clear" w:color="auto" w:fill="FFFFFF"/>
        <w:spacing w:beforeAutospacing="0" w:after="150" w:afterAutospacing="0" w:line="580" w:lineRule="exact"/>
        <w:jc w:val="center"/>
        <w:rPr>
          <w:rFonts w:hint="eastAsia" w:ascii="宋体" w:hAnsi="宋体" w:eastAsia="宋体" w:cs="方正小标宋简体"/>
          <w:kern w:val="0"/>
          <w:sz w:val="44"/>
          <w:szCs w:val="44"/>
          <w:shd w:val="clear" w:color="auto" w:fill="FFFFFF"/>
          <w:lang w:val="en-US" w:eastAsia="zh-CN" w:bidi="ar-SA"/>
          <w14:ligatures w14:val="none"/>
        </w:rPr>
      </w:pPr>
      <w:bookmarkStart w:id="2" w:name="_GoBack"/>
      <w:r>
        <w:rPr>
          <w:rFonts w:hint="eastAsia" w:ascii="宋体" w:hAnsi="宋体" w:eastAsia="宋体" w:cs="方正小标宋简体"/>
          <w:b/>
          <w:kern w:val="2"/>
          <w:sz w:val="44"/>
          <w:szCs w:val="44"/>
          <w:shd w:val="clear" w:color="auto" w:fill="FFFFFF"/>
          <w:lang w:val="en-US" w:eastAsia="zh-CN" w:bidi="ar-SA"/>
          <w14:ligatures w14:val="standardContextual"/>
        </w:rPr>
        <w:t>景德镇市昌江区电子信息产业链现代化</w:t>
      </w:r>
    </w:p>
    <w:p w14:paraId="3A859BC8">
      <w:pPr>
        <w:widowControl/>
        <w:shd w:val="clear" w:color="auto" w:fill="FFFFFF"/>
        <w:spacing w:beforeAutospacing="0" w:after="150" w:afterAutospacing="0" w:line="580" w:lineRule="exact"/>
        <w:jc w:val="center"/>
        <w:rPr>
          <w:rFonts w:ascii="宋体" w:hAnsi="宋体" w:eastAsia="宋体" w:cs="方正小标宋简体"/>
          <w:kern w:val="0"/>
          <w:sz w:val="44"/>
          <w:szCs w:val="44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宋体" w:hAnsi="宋体" w:eastAsia="宋体" w:cs="方正小标宋简体"/>
          <w:b/>
          <w:kern w:val="2"/>
          <w:sz w:val="44"/>
          <w:szCs w:val="44"/>
          <w:shd w:val="clear" w:color="auto" w:fill="FFFFFF"/>
          <w:lang w:val="en-US" w:eastAsia="zh-CN" w:bidi="ar-SA"/>
          <w14:ligatures w14:val="standardContextual"/>
        </w:rPr>
        <w:t>建设行动方案（</w:t>
      </w:r>
      <w:r>
        <w:rPr>
          <w:rFonts w:ascii="宋体" w:hAnsi="宋体" w:eastAsia="宋体" w:cs="方正小标宋简体"/>
          <w:b/>
          <w:kern w:val="2"/>
          <w:sz w:val="44"/>
          <w:szCs w:val="44"/>
          <w:shd w:val="clear" w:color="auto" w:fill="FFFFFF"/>
          <w:lang w:val="en-US" w:eastAsia="zh-CN" w:bidi="ar-SA"/>
          <w14:ligatures w14:val="standardContextual"/>
        </w:rPr>
        <w:t>2024-2026年）</w:t>
      </w:r>
    </w:p>
    <w:bookmarkEnd w:id="2"/>
    <w:p w14:paraId="7A47EFF8">
      <w:pPr>
        <w:widowControl/>
        <w:shd w:val="clear" w:color="auto" w:fill="FFFFFF"/>
        <w:spacing w:beforeAutospacing="0" w:after="150" w:afterAutospacing="0" w:line="580" w:lineRule="exact"/>
        <w:jc w:val="center"/>
        <w:rPr>
          <w:rFonts w:ascii="宋体" w:hAnsi="宋体" w:eastAsia="宋体" w:cs="方正小标宋简体"/>
          <w:kern w:val="0"/>
          <w:sz w:val="44"/>
          <w:szCs w:val="44"/>
          <w:shd w:val="clear" w:color="auto" w:fill="FFFFFF"/>
          <w:lang w:val="en-US" w:eastAsia="zh-CN" w:bidi="ar-SA"/>
          <w14:ligatures w14:val="none"/>
        </w:rPr>
      </w:pPr>
    </w:p>
    <w:p w14:paraId="09419E9D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14:ligatures w14:val="none"/>
        </w:rPr>
        <w:t>为进一步提升全区电子信息产业链韧性、竞争力和安全水平，着力推动产业基础高级化、产业链现代化，推动全区电子信息产业链高质量发展，特制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  <w14:ligatures w14:val="none"/>
        </w:rPr>
        <w:t>+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14:ligatures w14:val="none"/>
        </w:rPr>
        <w:t>定本行动方案。</w:t>
      </w:r>
    </w:p>
    <w:p w14:paraId="7BFF7578">
      <w:pPr>
        <w:widowControl/>
        <w:shd w:val="clear" w:color="auto" w:fill="FFFFFF"/>
        <w:spacing w:before="156" w:beforeLines="50" w:beforeAutospacing="0" w:after="150" w:afterAutospacing="0" w:line="580" w:lineRule="exact"/>
        <w:ind w:firstLine="643" w:firstLineChars="200"/>
        <w:jc w:val="left"/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shd w:val="clear" w:color="auto" w:fill="FFFFFF"/>
          <w:lang w:val="en-US" w:eastAsia="zh-CN" w:bidi="ar-SA"/>
          <w14:ligatures w14:val="standardContextual"/>
        </w:rPr>
        <w:t>一、总体要求</w:t>
      </w:r>
    </w:p>
    <w:p w14:paraId="0DC31AF7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14:ligatures w14:val="none"/>
        </w:rPr>
        <w:t>以习近平新时代中国特色社会主义思想为指导，深入贯彻党的二十大精神和习近平总书记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  <w14:ligatures w14:val="none"/>
        </w:rPr>
        <w:t>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14:ligatures w14:val="none"/>
        </w:rPr>
        <w:t>察江西重要讲话精神，聚焦“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  <w14:ligatures w14:val="none"/>
        </w:rPr>
        <w:t>走在前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14:ligatures w14:val="none"/>
        </w:rPr>
        <w:t>、勇争先、善作为”目标要求，完整、准确、全面贯彻新发展理念，以提升产业基础高级化、产业链现代化水平为重点，</w:t>
      </w:r>
      <w:bookmarkStart w:id="0" w:name="_Hlk166839738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14:ligatures w14:val="none"/>
        </w:rPr>
        <w:t>围绕电子元器件、终端产品与基础材料等领域招大引强，以重大项目、龙头企业为依托，加快延伸产业链上下游，培育终端消费电子新赛道，推动全区电子信息产业快速成规模、上台阶，实现电子信息产业向中高端迈进。</w:t>
      </w:r>
    </w:p>
    <w:p w14:paraId="5CDE773E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14:ligatures w14:val="none"/>
        </w:rPr>
        <w:t>到2026年，全区电子信息产业链规模以上企业力争达到20家，营业收入突破50亿元。</w:t>
      </w:r>
    </w:p>
    <w:bookmarkEnd w:id="0"/>
    <w:p w14:paraId="01FD0C35">
      <w:pPr>
        <w:widowControl/>
        <w:shd w:val="clear" w:color="auto" w:fill="FFFFFF"/>
        <w:spacing w:before="156" w:beforeLines="50" w:beforeAutospacing="0" w:after="150" w:afterAutospacing="0" w:line="580" w:lineRule="exact"/>
        <w:ind w:firstLine="643" w:firstLineChars="200"/>
        <w:jc w:val="left"/>
        <w:rPr>
          <w:rFonts w:hint="eastAsia" w:ascii="黑体" w:hAnsi="黑体" w:eastAsia="黑体" w:cs="黑体"/>
          <w:b/>
          <w:bCs w:val="0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shd w:val="clear" w:color="auto" w:fill="FFFFFF"/>
          <w:lang w:val="en-US" w:eastAsia="zh-CN" w:bidi="ar-SA"/>
          <w14:ligatures w14:val="standardContextual"/>
        </w:rPr>
        <w:t>二、主要举措</w:t>
      </w:r>
    </w:p>
    <w:p w14:paraId="1DCD1184">
      <w:pPr>
        <w:widowControl/>
        <w:shd w:val="clear" w:color="auto" w:fill="FFFFFF"/>
        <w:spacing w:beforeAutospacing="1" w:after="150" w:afterAutospacing="1"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  <w:lang w:val="en-US" w:eastAsia="zh-CN" w:bidi="ar-SA"/>
          <w14:ligatures w14:val="standardContextual"/>
        </w:rPr>
        <w:t>（一）实施产业链精准招商。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紧抓沿海地区电子信息产业转移窗口，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结合景德镇市电子信息产业赛道招优引强指南，引导产业招商小分队实行图谱作业，聚焦头部企业、旗舰企业或小巨人企业进行对接招引，重点解决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全区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电子信息产业“有产业缺龙头、有企业缺生态”的现实困境。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聚焦电路板、电子专用材料（覆铜板）、真空开关、电容器和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LED照明细分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等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领域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，加大项目招引，破解我区电子信息产业配套能力相对薄弱的现状，完善产业链发展。坚持“项目为王”的理念，按照“策划一批、引进一批、建设一批、投产一批”的思路，强化重点项目引进、投产、运营的调度和服务，推动项目加快落户、建设、投产。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积极参与省粤港澳大湾区电子信息产业投资合作对接会、省电子信息产业供应链大会、世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 xml:space="preserve"> 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界VR产业大会等活动，推动区域、企业、项目加强合作，推动以商招商、产业链招商、组团式招商、资本招商，大力承接产业转移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。</w:t>
      </w:r>
    </w:p>
    <w:p w14:paraId="029D3BEF">
      <w:pPr>
        <w:widowControl/>
        <w:shd w:val="clear" w:color="auto" w:fill="FFFFFF"/>
        <w:spacing w:beforeAutospacing="1" w:after="150" w:afterAutospacing="1"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  <w:lang w:val="en-US" w:eastAsia="zh-CN" w:bidi="ar-SA"/>
          <w14:ligatures w14:val="standardContextual"/>
        </w:rPr>
        <w:t>（二）提升产业链创新能力。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加快建设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一批国家、省级、市级企业工程技术中心、工程研发中心、工程实验室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。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鼓励有条件的电子信息企业加大研发投入，促进企业与高校、科研机构有机对接，加快产研深度融合，深化企业技术中心建设，推动规上企业研发机构全覆盖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。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推进电子信息产业重大创新平台建设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，结合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产业发展需求，依托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电子信息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产业链链主企业、高等院校、科研院所，重点开展产业关键核心技术、共性技术、前沿技术和跨行业融合性技术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研究。支持以宏亿电子、乐彭电器等企业为龙头推进企业技改扩张、数字化转型升级，推动产品制造向智能化、高端化发展。推动电子信息产业组建技术创新联盟，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支持产业联盟企业间技术共享、协同并进，深入实施“重创工程”，提高科研成果转移转化效率，加快把技术优势转化为产业优势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，实现电子信息产业量质齐升。</w:t>
      </w:r>
    </w:p>
    <w:p w14:paraId="47184868">
      <w:pPr>
        <w:widowControl/>
        <w:shd w:val="clear" w:color="auto" w:fill="FFFFFF"/>
        <w:spacing w:beforeAutospacing="1" w:after="150" w:afterAutospacing="1" w:line="580" w:lineRule="exact"/>
        <w:ind w:firstLine="643" w:firstLineChars="200"/>
        <w:jc w:val="left"/>
        <w:rPr>
          <w:rFonts w:ascii="仿宋" w:hAnsi="仿宋" w:eastAsia="仿宋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  <w:lang w:val="en-US" w:eastAsia="zh-CN" w:bidi="ar-SA"/>
          <w14:ligatures w14:val="standardContextual"/>
        </w:rPr>
        <w:t>（三）培育</w:t>
      </w:r>
      <w:r>
        <w:rPr>
          <w:rFonts w:ascii="楷体" w:hAnsi="楷体" w:eastAsia="楷体" w:cs="楷体"/>
          <w:b/>
          <w:kern w:val="2"/>
          <w:sz w:val="32"/>
          <w:szCs w:val="32"/>
          <w:lang w:val="en-US" w:eastAsia="zh-CN" w:bidi="ar-SA"/>
          <w14:ligatures w14:val="standardContextual"/>
        </w:rPr>
        <w:t>产业链</w:t>
      </w:r>
      <w:r>
        <w:rPr>
          <w:rFonts w:hint="eastAsia" w:ascii="楷体" w:hAnsi="楷体" w:eastAsia="楷体" w:cs="楷体"/>
          <w:b/>
          <w:kern w:val="2"/>
          <w:sz w:val="32"/>
          <w:szCs w:val="32"/>
          <w:lang w:val="en-US" w:eastAsia="zh-CN" w:bidi="ar-SA"/>
          <w14:ligatures w14:val="standardContextual"/>
        </w:rPr>
        <w:t>重点企业。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加强电子信息企业用工、用电、用地等要素资源保障，进一步发挥省产业链金融服务团、“映山红”行动、省市产业发展基金等作用，积极争取金融支持。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推进大中小企业融通，着力培育“专精特新”企业，打造一批细分行业和细分市场领军企业、单项冠军和“小巨人”企业，</w:t>
      </w:r>
      <w:bookmarkStart w:id="1" w:name="_Hlk166840282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促进乾富半导体、启福光科技、华仙科技等电子信息企业上规模、上台阶。</w:t>
      </w:r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全面梳理制约我区电子元器件、终端产品与基础材料等领域产业发展的关键流程、关键环节、发展瓶颈和关键共性技术，精准打通产业发展中的堵点、断点，推动大中小企业配套协作各环节协同发展。组建基于股权投资的技术合作与资本运作平台，通过项目投资、股权投资等方式，推动全区电子信息企业沿着专精特新“小巨人”企业的方向，继续走专业化发展道路，形成专业化技术能力。</w:t>
      </w:r>
    </w:p>
    <w:p w14:paraId="1D18D5F9">
      <w:pPr>
        <w:widowControl/>
        <w:shd w:val="clear" w:color="auto" w:fill="FFFFFF"/>
        <w:spacing w:beforeAutospacing="1" w:after="150" w:afterAutospacing="1"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（四）加快产业链集群发展。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进一步完善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电子信息产业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发展平台，加快推进电子信息产业园（三期）建设，推进昌江产业园调区扩区、满园扩园，充分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发挥电子信息产业园承载能力，强化龙头拉动、配套助力，做大、做长、做强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电子信息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产业集群。强化乐彭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电器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带动作用，加快推进乾富半导体、启福光科技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、华仙科技、聚能立电子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项目建设，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深耕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LED照明细分领域，延伸LED产业链上下游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。积极引入我国电子信息配套龙头企业、关联领域具备技术实力的企业来我区开展项目合作、设立研发机构、开展电子信息产业配套生产。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通过做大规模效益、做强项目支撑、做好主导产业、做优公共服务、做实治理能力，持续推动电子信息产业集群提质升级，形成集群效应。</w:t>
      </w:r>
    </w:p>
    <w:p w14:paraId="2B4E2F30">
      <w:pPr>
        <w:widowControl/>
        <w:shd w:val="clear" w:color="auto" w:fill="FFFFFF"/>
        <w:spacing w:beforeAutospacing="1" w:after="150" w:afterAutospacing="1"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（五）推动产业链赋能升级。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贯彻落实《江西省电子信息产业数字化转型行动计划（2023—2025年）》（赣工信电子字〔2023〕82号）和《景德镇“十四五”制造业高质量发展规划》精神，密切关注长三角、粤港澳大湾区等区域重点企业和重大项目前沿动态，积极开展工业互联网一体化进园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、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“百城千园行”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、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产业数字化发展水平评价普查等活动，加快推进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我区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传统电子信息企业信息化和工业化的深度结合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。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持续推动两化融合认定工作，引导企业以信息化带动工业化、以工业化促进信息化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。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深入开展数字化基础培育行动、数字化赋能提升行动、产业集群发展提升行动、数字化典型案例推广行动，借助省级数字化转型促进中心等平台，引导企业运用新一代信息技术对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生产设备、工艺流程、经营管理进行数字化改造，推动企业数据上云、触网升级，提升企业数据治理能力和数据资产管理水平，帮助企业降本增效。</w:t>
      </w:r>
    </w:p>
    <w:p w14:paraId="6BD411E0">
      <w:pPr>
        <w:widowControl/>
        <w:shd w:val="clear" w:color="auto" w:fill="FFFFFF"/>
        <w:spacing w:before="156" w:beforeLines="50" w:beforeAutospacing="0" w:after="150" w:afterAutospacing="0" w:line="580" w:lineRule="exact"/>
        <w:ind w:firstLine="643" w:firstLineChars="200"/>
        <w:jc w:val="left"/>
        <w:rPr>
          <w:rFonts w:hint="eastAsia" w:ascii="黑体" w:hAnsi="黑体" w:eastAsia="黑体" w:cs="黑体"/>
          <w:b/>
          <w:bCs w:val="0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shd w:val="clear" w:color="auto" w:fill="FFFFFF"/>
          <w:lang w:val="en-US" w:eastAsia="zh-CN" w:bidi="ar-SA"/>
          <w14:ligatures w14:val="standardContextual"/>
        </w:rPr>
        <w:t>三、组织实施</w:t>
      </w:r>
    </w:p>
    <w:p w14:paraId="79D6185C">
      <w:pPr>
        <w:widowControl/>
        <w:shd w:val="clear" w:color="auto" w:fill="FFFFFF"/>
        <w:spacing w:beforeAutospacing="1" w:after="150" w:afterAutospacing="1"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（一）加强组织领导。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全面落实《关于实施昌江区产业链链长制工作方案》，充分发挥电子信息产业链链长制工作机制，统筹全区电子信息产业发展。围绕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-SA"/>
          <w14:ligatures w14:val="none"/>
        </w:rPr>
        <w:t>电子元器件、终端产品与基础材料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等领域及其配套项目需求，制定并监督实施鼓励硬件制造、软件开发、新一代信息技术融合应用一体发展的优惠政策。</w:t>
      </w:r>
    </w:p>
    <w:p w14:paraId="64D78008">
      <w:pPr>
        <w:widowControl/>
        <w:shd w:val="clear" w:color="auto" w:fill="FFFFFF"/>
        <w:spacing w:beforeAutospacing="1" w:after="150" w:afterAutospacing="1" w:line="58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（二）强化政策支持。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紧盯国家、省、市政策动态和资金投向，全力争取各级扶持电子信息产业发展的各类专项资金和产业基金，用好用活增值税抵扣、加速折旧、高新技术企业所得税减免等税收优惠政策，支持企业高质量发展。充分发挥政府投资撬动作用，统筹各级财政专项资金，集中支持一批带动性强的示范项目，吸引社会资本跟投。完善政银企对接机制，引导金融机构加大对重大项目建设的信贷支持。鼓励金融机构开发差异化、针对性的金融产品，满足各类企业融资需求。</w:t>
      </w:r>
    </w:p>
    <w:p w14:paraId="79F57AF6">
      <w:pPr>
        <w:widowControl/>
        <w:shd w:val="clear" w:color="auto" w:fill="FFFFFF"/>
        <w:spacing w:beforeAutospacing="0" w:after="150" w:afterAutospacing="0"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（三）加快人才引育。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完善从研发、转化、生产到管理的人才引进培养体系。重点支持电子信息产业发展需要的高层次人才、紧缺型人才、创新创业人才和实用型人才的引进和培养，加大专业技术人才、经营管理人才和技能人才的引进力度。建立一批实训基地，加大职业教育和技能培训力度，培养高素质产业技术工人。推行企业“订单式”人才培养模式，鼓励景德镇陶瓷大学、景德镇学院等本地院校强化校企合作、园校对接，强化产业人才保障。</w:t>
      </w:r>
    </w:p>
    <w:p w14:paraId="6AB79569">
      <w:pPr>
        <w:widowControl/>
        <w:shd w:val="clear" w:color="auto" w:fill="FFFFFF"/>
        <w:spacing w:beforeAutospacing="1" w:after="150" w:afterAutospacing="1"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仿宋_GB2312"/>
          <w:b/>
          <w:bCs/>
          <w:kern w:val="0"/>
          <w:sz w:val="32"/>
          <w:szCs w:val="32"/>
          <w:shd w:val="clear" w:color="auto" w:fill="FFFFFF"/>
          <w:lang w:val="en-US" w:eastAsia="zh-CN" w:bidi="ar-SA"/>
          <w14:ligatures w14:val="none"/>
        </w:rPr>
        <w:t>（四）优化营商环境。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  <w14:ligatures w14:val="none"/>
        </w:rPr>
        <w:t>用好、用准工业发展专项资金及财园信贷通等政府政策性资金，将政策资金“一杆子插到底”，做到快享直达，减少政务审批流程，让企业轻装前行。充分做好企银牵线搭桥人，通过财园信贷通拓宽企业融资渠道。开展清欠专项工作，缓解企业资金压力。加强政策宣传，通过上户走访、企业服务日、政务网站公开以及融媒体宣传等“线上＋线下”相结合方式多渠道、全方位将政策送到企业身边，提升服务企业的质量和效能。</w:t>
      </w:r>
    </w:p>
    <w:p w14:paraId="379A4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OWNlNjVmNDJlMjI1OWZjYzFjNDliNGMyM2I3MGYifQ=="/>
  </w:docVars>
  <w:rsids>
    <w:rsidRoot w:val="10B47216"/>
    <w:rsid w:val="10B4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2024-08-22T02:17:00Z</dcterms:created>
  <dc:creator>Administrator</dc:creator>
  <cp:lastModifiedBy>Administrator</cp:lastModifiedBy>
  <dcterms:modified xsi:type="dcterms:W3CDTF">2024-08-22T02:18:08Z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3B9084C2BED94855B6C00047F5B65682_11</vt:lpwstr>
  </property>
</Properties>
</file>