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1" w:name="_GoBack"/>
      <w:bookmarkEnd w:id="1"/>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4" cstate="print"/>
                    <a:stretch>
                      <a:fillRect/>
                    </a:stretch>
                  </pic:blipFill>
                  <pic:spPr>
                    <a:xfrm>
                      <a:off x="0" y="0"/>
                      <a:ext cx="2456815" cy="2456815"/>
                    </a:xfrm>
                    <a:prstGeom prst="rect">
                      <a:avLst/>
                    </a:prstGeom>
                  </pic:spPr>
                </pic:pic>
              </a:graphicData>
            </a:graphic>
          </wp:inline>
        </w:drawing>
      </w:r>
    </w:p>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v:textbox>
              </v:shape>
            </w:pict>
          </mc:Fallback>
        </mc:AlternateConten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4</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17</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pPr>
        <w:pStyle w:val="24"/>
        <w:spacing w:after="0" w:line="598" w:lineRule="exact"/>
        <w:ind w:firstLine="0"/>
        <w:jc w:val="center"/>
        <w:rPr>
          <w:b/>
          <w:bCs/>
          <w:color w:val="000000"/>
          <w:sz w:val="44"/>
          <w:szCs w:val="44"/>
          <w:lang w:eastAsia="zh-CN"/>
        </w:rPr>
      </w:pPr>
    </w:p>
    <w:p>
      <w:pPr>
        <w:pStyle w:val="24"/>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7"/>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8</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4</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8</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4</w:t>
                            </w:r>
                            <w:r>
                              <w:rPr>
                                <w:rFonts w:ascii="Times New Roman" w:hAnsi="Times New Roman" w:eastAsia="方正黑体_GBK"/>
                                <w:szCs w:val="21"/>
                              </w:rPr>
                              <w:t>期</w:t>
                            </w:r>
                          </w:p>
                          <w:p>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17</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昌江区人民政府办公室印发《关于在全区政府系统大兴调查研究的工作方案》的通知</w:t>
            </w:r>
          </w:p>
          <w:p>
            <w:pPr>
              <w:keepNext w:val="0"/>
              <w:keepLines w:val="0"/>
              <w:pageBreakBefore w:val="0"/>
              <w:tabs>
                <w:tab w:val="left" w:pos="3990"/>
              </w:tabs>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昌府办字〔2023〕25号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昌江区人民政府办公室关于印发《昌江区提升农业产业化发展水平三年行动方案（2023-2025年）》的</w:t>
            </w:r>
            <w:r>
              <w:rPr>
                <w:rFonts w:hint="eastAsia" w:asciiTheme="minorHAnsi" w:hAnsiTheme="minorHAnsi" w:cstheme="minorBidi"/>
                <w:kern w:val="2"/>
                <w:sz w:val="21"/>
                <w:szCs w:val="24"/>
                <w:lang w:val="en-US" w:eastAsia="zh-CN" w:bidi="ar-SA"/>
              </w:rPr>
              <w:t>通</w:t>
            </w:r>
            <w:r>
              <w:rPr>
                <w:rFonts w:hint="eastAsia" w:asciiTheme="minorHAnsi" w:hAnsiTheme="minorHAnsi" w:eastAsiaTheme="minorEastAsia" w:cstheme="minorBidi"/>
                <w:kern w:val="2"/>
                <w:sz w:val="21"/>
                <w:szCs w:val="24"/>
                <w:lang w:val="en-US" w:eastAsia="zh-CN" w:bidi="ar-SA"/>
              </w:rPr>
              <w:t>知</w:t>
            </w:r>
          </w:p>
          <w:p>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eastAsia="方正小标宋简体"/>
                <w:lang w:eastAsia="zh-CN"/>
              </w:rPr>
            </w:pPr>
            <w:r>
              <w:rPr>
                <w:rFonts w:hint="eastAsia" w:asciiTheme="minorHAnsi" w:hAnsiTheme="minorHAnsi" w:eastAsiaTheme="minorEastAsia" w:cstheme="minorBidi"/>
                <w:kern w:val="2"/>
                <w:sz w:val="21"/>
                <w:szCs w:val="24"/>
                <w:lang w:val="en-US" w:eastAsia="zh-CN" w:bidi="ar-SA"/>
              </w:rPr>
              <w:t>（昌府办字〔2023〕25号）………………………（</w:t>
            </w:r>
            <w:r>
              <w:rPr>
                <w:rFonts w:hint="eastAsia" w:asciiTheme="minorHAnsi" w:hAnsiTheme="minorHAnsi" w:cstheme="minorBidi"/>
                <w:kern w:val="2"/>
                <w:sz w:val="21"/>
                <w:szCs w:val="24"/>
                <w:lang w:val="en-US" w:eastAsia="zh-CN" w:bidi="ar-SA"/>
              </w:rPr>
              <w:t>14</w:t>
            </w:r>
            <w:r>
              <w:rPr>
                <w:rFonts w:hint="eastAsia" w:asciiTheme="minorHAnsi" w:hAnsiTheme="minorHAnsi" w:eastAsiaTheme="minorEastAsia" w:cstheme="minorBidi"/>
                <w:kern w:val="2"/>
                <w:sz w:val="21"/>
                <w:szCs w:val="24"/>
                <w:lang w:val="en-US" w:eastAsia="zh-CN" w:bidi="ar-SA"/>
              </w:rPr>
              <w:t>）</w:t>
            </w:r>
          </w:p>
        </w:tc>
      </w:tr>
    </w:tbl>
    <w:p>
      <w:pPr>
        <w:spacing w:line="600" w:lineRule="exact"/>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7"/>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rPr>
                <w:rFonts w:ascii="Times New Roman" w:hAnsi="Times New Roman" w:eastAsia="方正书宋_GBK"/>
                <w:color w:val="000000"/>
                <w:kern w:val="0"/>
                <w:szCs w:val="21"/>
              </w:rPr>
            </w:pPr>
          </w:p>
          <w:p>
            <w:pPr>
              <w:pStyle w:val="4"/>
              <w:keepNext w:val="0"/>
              <w:keepLines w:val="0"/>
              <w:widowControl/>
              <w:shd w:val="clear" w:color="auto" w:fill="FFFFFF"/>
              <w:spacing w:before="0" w:after="0" w:line="400" w:lineRule="exact"/>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31</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pPr>
              <w:pStyle w:val="4"/>
              <w:keepNext w:val="0"/>
              <w:keepLines w:val="0"/>
              <w:widowControl/>
              <w:shd w:val="clear" w:color="auto" w:fill="FFFFFF"/>
              <w:spacing w:before="0" w:after="0" w:line="400" w:lineRule="exact"/>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19</w:t>
            </w:r>
            <w:r>
              <w:rPr>
                <w:rFonts w:hint="eastAsia" w:ascii="楷体" w:hAnsi="楷体" w:eastAsia="楷体" w:cs="楷体"/>
                <w:b w:val="0"/>
                <w:bCs w:val="0"/>
                <w:kern w:val="2"/>
                <w:sz w:val="21"/>
                <w:szCs w:val="24"/>
              </w:rPr>
              <w:t>）</w:t>
            </w:r>
          </w:p>
          <w:p>
            <w:pPr>
              <w:pStyle w:val="4"/>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32</w:t>
            </w:r>
            <w:r>
              <w:rPr>
                <w:rFonts w:hint="eastAsia" w:ascii="Calibri" w:hAnsi="Calibri" w:eastAsia="宋体" w:cs="Times New Roman"/>
                <w:b w:val="0"/>
                <w:bCs w:val="0"/>
                <w:kern w:val="2"/>
                <w:sz w:val="21"/>
                <w:szCs w:val="24"/>
              </w:rPr>
              <w:t xml:space="preserve">次常务会议 </w:t>
            </w:r>
          </w:p>
          <w:p>
            <w:pPr>
              <w:pStyle w:val="4"/>
              <w:keepNext w:val="0"/>
              <w:keepLines w:val="0"/>
              <w:widowControl/>
              <w:shd w:val="clear" w:color="auto" w:fill="FFFFFF"/>
              <w:spacing w:before="0" w:after="0" w:line="560" w:lineRule="exact"/>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22</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33</w:t>
            </w:r>
            <w:r>
              <w:rPr>
                <w:rFonts w:hint="eastAsia" w:ascii="Calibri" w:hAnsi="Calibri" w:eastAsia="宋体" w:cs="Times New Roman"/>
                <w:b w:val="0"/>
                <w:bCs w:val="0"/>
                <w:kern w:val="2"/>
                <w:sz w:val="21"/>
                <w:szCs w:val="24"/>
              </w:rPr>
              <w:t xml:space="preserve">次常务会议 </w:t>
            </w:r>
          </w:p>
          <w:p>
            <w:pPr>
              <w:pStyle w:val="4"/>
              <w:shd w:val="clear" w:color="auto" w:fill="FFFFFF"/>
              <w:spacing w:before="0" w:after="0" w:line="560" w:lineRule="exact"/>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25</w:t>
            </w:r>
            <w:r>
              <w:rPr>
                <w:rFonts w:hint="eastAsia" w:ascii="楷体" w:hAnsi="楷体" w:eastAsia="楷体" w:cs="楷体"/>
                <w:b w:val="0"/>
                <w:bCs w:val="0"/>
                <w:kern w:val="2"/>
                <w:sz w:val="21"/>
                <w:szCs w:val="24"/>
              </w:rPr>
              <w:t>）</w:t>
            </w:r>
          </w:p>
        </w:tc>
      </w:tr>
    </w:tbl>
    <w:p>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pStyle w:val="24"/>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昌江区政府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昌江区人民政府办公室印发</w:t>
      </w:r>
      <w:bookmarkStart w:id="0" w:name="OLE_LINK1"/>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《关于在全区政府系统大兴调查研究</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的工作方案</w:t>
      </w:r>
      <w:bookmarkEnd w:id="0"/>
      <w:r>
        <w:rPr>
          <w:rFonts w:hint="eastAsia" w:ascii="方正小标宋简体" w:hAnsi="方正小标宋简体" w:eastAsia="方正小标宋简体" w:cs="方正小标宋简体"/>
          <w:color w:val="000000"/>
          <w:kern w:val="0"/>
          <w:sz w:val="43"/>
          <w:szCs w:val="43"/>
          <w:lang w:val="en-US" w:eastAsia="zh-CN" w:bidi="ar"/>
        </w:rPr>
        <w:t>》的通知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各乡（镇）人民政府、街道办事处，区政府各部门：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《关于在全区政府系统大兴调查研究的工作方案》已经区政府同意，现印发给你们，请结合实际抓好落实。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昌江区人民政府办公室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2023年6月29 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pStyle w:val="2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关于在全区政府系统大兴调查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color w:val="000000"/>
          <w:kern w:val="0"/>
          <w:sz w:val="43"/>
          <w:szCs w:val="43"/>
          <w:lang w:val="en-US" w:eastAsia="zh-CN" w:bidi="ar"/>
        </w:rPr>
        <w:t>研究的工作方案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按照中央关于在全党大兴调查研究的总体部署和省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委工作要求，结合工作实际，特制定如下工作方案。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一、目的意义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兴调查研究，是党中央的重大决策部署。党的十八大以来，以习近平同志为核心的党中央高度重视调查研究工作，习近平总书记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习近平总书记这些重要指示，深刻阐明了调查研究的极端重要性，为全党大兴调查研究、做好各项工作提供了根本遵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的二十大对全面建设社会主义现代化国家、全面推进中华民族伟大复兴进行了战略谋划，对统筹推进“五位一体”总体布局、协调推进“四个全面”战略布局作出了全面部署，明确指出未来5年是全面建设社会主义现代化国家开局起步的关键时期。如何全面贯彻落实党的二十大精神，准确把握中国式现代化的不断推进背后孕育的大变革、大调整、大机遇，迫切需要通过调查研究把握事物的本质和规律，找到破解难题的办法和路径。在全区政府系统大兴调查研究，是深入学习贯彻习近平新时代中国特色社会主义思想、感悟这一重要思想的真理力量和实践伟力的必然要求，是深刻领悟“两个确立”的决定性意义、坚决做到“两个维护”的具体实践，是应对新时代新征程前进路上的风浪考验、推进中国式现代化的有力举措，是转变工作作风、密切联系群众、提高履职本领、强化责任担当的有效途径，是加快全面建设社会主义现代化新昌江，高水平展现中国式现代化的景德镇图景的现实需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二、总体要求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政府系统要严格按照中央规定的“提高认识、制定方案、开展调研、深化研究、解决问题、督查回访”等6个步骤开展调查研究，不断健全完善调查研究工作机制，提升调查研究工作质量。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（一）强化理论学习。</w:t>
      </w:r>
      <w:r>
        <w:rPr>
          <w:rFonts w:hint="eastAsia" w:ascii="仿宋_GB2312" w:hAnsi="仿宋_GB2312" w:eastAsia="仿宋_GB2312" w:cs="仿宋_GB2312"/>
          <w:sz w:val="32"/>
          <w:szCs w:val="32"/>
          <w:lang w:val="en-US" w:eastAsia="zh-CN"/>
        </w:rPr>
        <w:t>全区政府系统各级领导班子和领导干部要采取集中学习与个人自学相结合，严格执行“第一议题”学习制度，通过理论学习中心组学习、读书班等形式集中开展调查研究专题学习讨论，深入学习领会习近平总书记关于调查研究的重要论述，学习习近平总书记视察江西重要讲话精神和对本部门本领域的重要指示批示精神，继承和发扬老一辈革命家深入基层调查研究的优良作风，增强做好调查研究的思想自觉、政治自觉、行动自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（二）制定具体方案。</w:t>
      </w:r>
      <w:r>
        <w:rPr>
          <w:rFonts w:hint="eastAsia" w:ascii="仿宋_GB2312" w:hAnsi="仿宋_GB2312" w:eastAsia="仿宋_GB2312" w:cs="仿宋_GB2312"/>
          <w:sz w:val="32"/>
          <w:szCs w:val="32"/>
          <w:lang w:val="en-US" w:eastAsia="zh-CN"/>
        </w:rPr>
        <w:t>各乡镇（街道）、单位（部门）要围绕调研内容，立足本单位本部门实际，在广泛听取各方面意见的基础上，本着精简高效原则，精准选定项目课题，科学设计方式方法，统筹安排、合理确定各课题组调研日程、地点，制定具有针对性、实效性和可操作性的方案。各乡镇（街道）、单位（部门）主要负责同志要亲自主持制定研究方案，制定方案应于6月中旬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（三）扎实深入调研。</w:t>
      </w:r>
      <w:r>
        <w:rPr>
          <w:rFonts w:hint="eastAsia" w:ascii="仿宋_GB2312" w:hAnsi="仿宋_GB2312" w:eastAsia="仿宋_GB2312" w:cs="仿宋_GB2312"/>
          <w:sz w:val="32"/>
          <w:szCs w:val="32"/>
          <w:lang w:val="en-US" w:eastAsia="zh-CN"/>
        </w:rPr>
        <w:t>区政府领导班子成员每人牵头开展1个课题调研，重点针对分管领域或工作中最突出的难点问题进行专项调研，撰写1篇对工作有指导意义的高质量调研报告。推动《政府工作报告》重点任务落实，推动领衔分管领域工作调查研究和落实落地。各乡镇（街道）、单位（部门）要紧密结合本地本部门本单位工作实际，研究制定调查研究的具体方案，科级以上领导班子成员每人牵头1个课题调研，特别是要针对相关领域或工作中最突出的难点问题进行专项调研，撰写1篇对工作有指导意义的调研报告。要大力开展“比较式”“沉浸式”“发散式”调研，综合运用蹲点调研、座谈访谈、专家调查、走访问卷、抽样调查、统计分析等多种方式，充分运用互联网、大数据等信息技术，切实提高调研的科学性、客观性、时效性。要坚持“走出去”实地调研取经，不断启迪思维、更新观念、学以致用。要深入农村、社区、企业、项目现场、田间地头等基层一线，掌握发展现状，了解群众诉求，摸清活情况、发现真问题。要加强督查调研，检查工作是否真正落实、问题是否真正解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（四）认真分析研究。</w:t>
      </w:r>
      <w:r>
        <w:rPr>
          <w:rFonts w:hint="eastAsia" w:ascii="仿宋_GB2312" w:hAnsi="仿宋_GB2312" w:eastAsia="仿宋_GB2312" w:cs="仿宋_GB2312"/>
          <w:sz w:val="32"/>
          <w:szCs w:val="32"/>
          <w:lang w:val="en-US" w:eastAsia="zh-CN"/>
        </w:rPr>
        <w:t>调查研究后，要全面梳理汇总调研情况，运用习近平新时代中国特色社会主义思想的世界观、方法论和贯穿其中的立场观点方法，针对调研的问题，提出可行的政策举措和解决方案。特别对制约昌江区高质量发展的突出短板问题、普遍性和制度性的问题、深层次关键性问题，以及难题积案和顽瘴痼疾等，要研究透彻，切实找准思想的桎梏、发展的瓶颈、工作的短板。在此基础上，要适时采取召开领导班子会议等形式进行交流，各乡镇（街道）、单位（部门）至少组织1次集中交流，对经过充分研究、比较成熟的调研成果，要及时提交本级党委、政府作为决策依据，通过制定规范性文件、专项安排部署等形式，切实把调查研究成果转化为推进工作、破解难题的实际成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（五）推动解决问题。</w:t>
      </w:r>
      <w:r>
        <w:rPr>
          <w:rFonts w:hint="eastAsia" w:ascii="仿宋_GB2312" w:hAnsi="仿宋_GB2312" w:eastAsia="仿宋_GB2312" w:cs="仿宋_GB2312"/>
          <w:sz w:val="32"/>
          <w:szCs w:val="32"/>
          <w:lang w:val="en-US" w:eastAsia="zh-CN"/>
        </w:rPr>
        <w:t>以有解思维、改革理念、创新办法，推动问题有效解决。对调研中反映和发现的问题，要逐一梳理形成问题清单、责任清单、任务清单“三张清单”，逐一列出解决措施、责任单位、责任人和完成时限。要全面推行“归零工作法”，建立问题销号制度，问题发现一个、解决一个、销号一个，坚决防止调研发现问题层层交办转办、久拖不决、纸上解决。解决问题原则上应于12月底前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（六）强化跟踪问效。</w:t>
      </w:r>
      <w:r>
        <w:rPr>
          <w:rFonts w:hint="eastAsia" w:ascii="仿宋_GB2312" w:hAnsi="仿宋_GB2312" w:eastAsia="仿宋_GB2312" w:cs="仿宋_GB2312"/>
          <w:sz w:val="32"/>
          <w:szCs w:val="32"/>
          <w:lang w:val="en-US" w:eastAsia="zh-CN"/>
        </w:rPr>
        <w:t>各乡镇（街道）、单位（部门）要建立调研成果转化运用清单，加强对调研课题完成情况、问题解决情况、领导批示落实情况的督查督办和跟踪问效。各级领导干部要定期对调研对象和解决问题等事项进行回访，梳理现状、查摆不足，注意发现和解决新的问题，提出持续优化改进工作的措施。区政府将对各乡镇（街道）、单位（部门）开展情况进行督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（一）加强组织领导。</w:t>
      </w:r>
      <w:r>
        <w:rPr>
          <w:rFonts w:hint="eastAsia" w:ascii="仿宋_GB2312" w:hAnsi="仿宋_GB2312" w:eastAsia="仿宋_GB2312" w:cs="仿宋_GB2312"/>
          <w:sz w:val="32"/>
          <w:szCs w:val="32"/>
          <w:lang w:val="en-US" w:eastAsia="zh-CN"/>
        </w:rPr>
        <w:t>全区各乡镇（街道）、单位（部门）是大兴调查研究的责任主体，要高度重视，作出专门部署，科学精准做好方案设计、过程实施、监督问效等各个环节工作。各乡镇（街道）、单位（部门）主要负责同志要亲自抓、负总责，认真抓好本地区本单位本部门调查研究的推进实施，确保组织到位、措施到位、落实到位。班子其他成员要各司其职、各负其责，紧密结合工作实际，抓好分管领域和分管单位的调查研究工作。各地各部门在调研中发现的重要情况和问题，要及时向上级政府请示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（二）注重方式方法。</w:t>
      </w:r>
      <w:r>
        <w:rPr>
          <w:rFonts w:hint="eastAsia" w:ascii="仿宋_GB2312" w:hAnsi="仿宋_GB2312" w:eastAsia="仿宋_GB2312" w:cs="仿宋_GB2312"/>
          <w:sz w:val="32"/>
          <w:szCs w:val="32"/>
          <w:lang w:val="en-US" w:eastAsia="zh-CN"/>
        </w:rPr>
        <w:t>开展调查研究要力求准确、全面、客观了解情况，从普遍矛盾问题入手、以“小切口”思考选题，切实提高调查研究的科学性和实效性。要紧扣实际，坚持把“真调研”贯穿到工作全过程各方面，切忌假调研、验证式调研，事先定调子，报喜不报忧。要坚持以破解发展难题引领调研方向，善于观察发现问题、勤于思考分析问题、巧于找到症结破解问题，奔着问题去，带着办法回。要坚持把能否取得实效作为衡量调查研究工作成败的重要标尺，既要有随机调研、全局调查，也要有蹲点式、解剖“麻雀”式调研，促进政策的优化和工作质量的提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（三）强化统筹协调。</w:t>
      </w:r>
      <w:r>
        <w:rPr>
          <w:rFonts w:hint="eastAsia" w:ascii="仿宋_GB2312" w:hAnsi="仿宋_GB2312" w:eastAsia="仿宋_GB2312" w:cs="仿宋_GB2312"/>
          <w:sz w:val="32"/>
          <w:szCs w:val="32"/>
          <w:lang w:val="en-US" w:eastAsia="zh-CN"/>
        </w:rPr>
        <w:t>各乡镇（街道）、单位（部门）要加强调研统筹，合理安排调研对象、调研地点、调研时间，与区委区政府工作检查、专项督查等活动相衔接，避免扎堆调研、多头调研、重复调研。要加强工作统筹，坚持把调查研究与开展主题教育、贯彻落实党中央决策部署和省委工作要求、全面建设社会主义现代化昌江紧密结合起来，与推进重点工作、解决重大问题贯通起来，一体部署，协调推进。要加强力量统筹，强化市县纵向互动、职能部门横向联动，充分调动各类智库、专家学者、民主党派等各方面研究力量参与调研。要加强成果统筹，对于表现在基层、根子在上面的问题，对涉及多个地区或部门单位的问题，要强化上下协同、整体推动解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（四）严明工作纪律。</w:t>
      </w:r>
      <w:r>
        <w:rPr>
          <w:rFonts w:hint="eastAsia" w:ascii="仿宋_GB2312" w:hAnsi="仿宋_GB2312" w:eastAsia="仿宋_GB2312" w:cs="仿宋_GB2312"/>
          <w:sz w:val="32"/>
          <w:szCs w:val="32"/>
          <w:lang w:val="en-US" w:eastAsia="zh-CN"/>
        </w:rPr>
        <w:t>严格执行中央八项规定精神和省市相关规定要求，严控调研人数，轻车简从，厉行节约，不得搞布置“踩点”、层层陪同、迎来送往，切实减轻基层负担。多采取“四不两直”方式，既到发展较好、工作有亮点的地方总结经验，更到困难多、群众意见集中、工作打不开局面的地方和部门调研解决问题。要力戒形式主义、官僚主义，严禁作秀式、盆景式、蜻蜓点水式调研，防止走过场、不深入。对调研中违反作风建设要求和廉洁自律规定的，要依纪依规严肃问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（五）着眼常态长效。</w:t>
      </w:r>
      <w:r>
        <w:rPr>
          <w:rFonts w:hint="eastAsia" w:ascii="仿宋_GB2312" w:hAnsi="仿宋_GB2312" w:eastAsia="仿宋_GB2312" w:cs="仿宋_GB2312"/>
          <w:sz w:val="32"/>
          <w:szCs w:val="32"/>
          <w:lang w:val="en-US" w:eastAsia="zh-CN"/>
        </w:rPr>
        <w:t>各乡镇（街道）、单位（部门）要立足当前，着眼长远，及时总结调查研究的有效做法和成功经验，不断健全完善领导干部深入基层调查研究机制、重大决策调查研究论证机制、调查研究成果交流转化机制、调查研究跟踪问效和督查回访机制、多方参与的调查研究联动机制等，把调查研究贯穿于推动昌江区高质量发展全过程，使调查研究真正成为党员、干部的经常性工作，在全区蔚然成风、取得实效。</w:t>
      </w:r>
    </w:p>
    <w:p>
      <w:pPr>
        <w:pStyle w:val="14"/>
        <w:keepNext w:val="0"/>
        <w:keepLines w:val="0"/>
        <w:widowControl/>
        <w:suppressLineNumbers w:val="0"/>
        <w:jc w:val="both"/>
        <w:rPr>
          <w:rFonts w:hint="eastAsia" w:ascii="黑体" w:hAnsi="宋体" w:eastAsia="黑体" w:cs="黑体"/>
          <w:color w:val="000000"/>
          <w:sz w:val="31"/>
          <w:szCs w:val="31"/>
        </w:rPr>
      </w:pPr>
    </w:p>
    <w:p>
      <w:pPr>
        <w:pStyle w:val="1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宋体" w:eastAsia="黑体" w:cs="黑体"/>
          <w:color w:val="000000"/>
          <w:sz w:val="31"/>
          <w:szCs w:val="31"/>
        </w:rPr>
      </w:pPr>
    </w:p>
    <w:p>
      <w:pPr>
        <w:pStyle w:val="1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宋体" w:eastAsia="黑体" w:cs="黑体"/>
          <w:color w:val="000000"/>
          <w:sz w:val="31"/>
          <w:szCs w:val="31"/>
        </w:rPr>
      </w:pPr>
    </w:p>
    <w:p>
      <w:pPr>
        <w:pStyle w:val="1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宋体" w:eastAsia="黑体" w:cs="黑体"/>
          <w:color w:val="000000"/>
          <w:sz w:val="31"/>
          <w:szCs w:val="31"/>
        </w:rPr>
      </w:pPr>
    </w:p>
    <w:p>
      <w:pPr>
        <w:pStyle w:val="1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宋体" w:eastAsia="黑体" w:cs="黑体"/>
          <w:color w:val="000000"/>
          <w:sz w:val="31"/>
          <w:szCs w:val="31"/>
        </w:rPr>
      </w:pPr>
    </w:p>
    <w:p>
      <w:pPr>
        <w:pStyle w:val="1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宋体" w:eastAsia="黑体" w:cs="黑体"/>
          <w:color w:val="000000"/>
          <w:sz w:val="31"/>
          <w:szCs w:val="31"/>
        </w:rPr>
      </w:pPr>
    </w:p>
    <w:p>
      <w:pPr>
        <w:pStyle w:val="1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黑体" w:hAnsi="宋体" w:eastAsia="黑体" w:cs="黑体"/>
          <w:color w:val="000000"/>
          <w:sz w:val="31"/>
          <w:szCs w:val="31"/>
        </w:rPr>
        <w:t>附件</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rPr>
      </w:pPr>
      <w:r>
        <w:rPr>
          <w:rFonts w:hint="eastAsia" w:ascii="方正小标宋简体" w:hAnsi="方正小标宋简体" w:eastAsia="方正小标宋简体" w:cs="方正小标宋简体"/>
          <w:b w:val="0"/>
          <w:bCs w:val="0"/>
          <w:color w:val="000000"/>
          <w:kern w:val="0"/>
          <w:sz w:val="43"/>
          <w:szCs w:val="43"/>
          <w:lang w:val="en-US" w:eastAsia="zh-CN" w:bidi="ar"/>
        </w:rPr>
        <w:t>调查研究选题参考</w:t>
      </w:r>
    </w:p>
    <w:p>
      <w:pPr>
        <w:pStyle w:val="1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仿宋_GB2312" w:eastAsia="仿宋_GB2312" w:cs="仿宋_GB2312"/>
          <w:color w:val="000000"/>
          <w:sz w:val="31"/>
          <w:szCs w:val="31"/>
        </w:rPr>
      </w:pPr>
    </w:p>
    <w:p>
      <w:pPr>
        <w:pStyle w:val="14"/>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微软雅黑" w:hAnsi="微软雅黑" w:eastAsia="微软雅黑" w:cs="微软雅黑"/>
          <w:i w:val="0"/>
          <w:iCs w:val="0"/>
          <w:caps w:val="0"/>
          <w:color w:val="000000"/>
          <w:spacing w:val="15"/>
          <w:sz w:val="32"/>
          <w:szCs w:val="32"/>
          <w:shd w:val="clear" w:fill="FFFFFF"/>
        </w:rPr>
      </w:pPr>
      <w:r>
        <w:rPr>
          <w:rFonts w:hint="default" w:ascii="仿宋_GB2312" w:eastAsia="仿宋_GB2312" w:cs="仿宋_GB2312"/>
          <w:color w:val="000000"/>
          <w:sz w:val="32"/>
          <w:szCs w:val="32"/>
        </w:rPr>
        <w:t>紧紧围绕全面贯彻落实党的二十大精神，认真对照党中央和省</w:t>
      </w:r>
      <w:r>
        <w:rPr>
          <w:rFonts w:hint="eastAsia" w:ascii="仿宋_GB2312" w:eastAsia="仿宋_GB2312" w:cs="仿宋_GB2312"/>
          <w:color w:val="000000"/>
          <w:sz w:val="32"/>
          <w:szCs w:val="32"/>
          <w:lang w:eastAsia="zh-CN"/>
        </w:rPr>
        <w:t>、市</w:t>
      </w:r>
      <w:r>
        <w:rPr>
          <w:rFonts w:hint="default" w:ascii="仿宋_GB2312" w:eastAsia="仿宋_GB2312" w:cs="仿宋_GB2312"/>
          <w:color w:val="000000"/>
          <w:sz w:val="32"/>
          <w:szCs w:val="32"/>
        </w:rPr>
        <w:t>、</w:t>
      </w:r>
      <w:r>
        <w:rPr>
          <w:rFonts w:hint="eastAsia" w:ascii="仿宋_GB2312" w:eastAsia="仿宋_GB2312" w:cs="仿宋_GB2312"/>
          <w:color w:val="000000"/>
          <w:sz w:val="32"/>
          <w:szCs w:val="32"/>
          <w:lang w:eastAsia="zh-CN"/>
        </w:rPr>
        <w:t>区</w:t>
      </w:r>
      <w:r>
        <w:rPr>
          <w:rFonts w:hint="default" w:ascii="仿宋_GB2312" w:eastAsia="仿宋_GB2312" w:cs="仿宋_GB2312"/>
          <w:color w:val="000000"/>
          <w:sz w:val="32"/>
          <w:szCs w:val="32"/>
        </w:rPr>
        <w:t>委分别明确的调研内容予以展开细化，立足政府职能职责，着重抓好以下课题调研。</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（一）贯彻落实党中央决策部署和习近平总书记重要讲话重要指示批示精神等方面。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贯彻落实党的二十大精神情况；</w:t>
      </w: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贯彻落实习近平总书记视察江西重要讲话精神和对江西工作重要指示批示精神情况；</w:t>
      </w:r>
      <w:r>
        <w:rPr>
          <w:rFonts w:hint="eastAsia" w:ascii="仿宋_GB2312" w:hAnsi="宋体" w:eastAsia="仿宋_GB2312" w:cs="仿宋_GB2312"/>
          <w:color w:val="000000"/>
          <w:kern w:val="0"/>
          <w:sz w:val="32"/>
          <w:szCs w:val="32"/>
          <w:lang w:val="en-US" w:eastAsia="zh-CN" w:bidi="ar"/>
        </w:rPr>
        <w:t>3.</w:t>
      </w:r>
      <w:r>
        <w:rPr>
          <w:rFonts w:hint="default" w:ascii="仿宋_GB2312" w:hAnsi="宋体" w:eastAsia="仿宋_GB2312" w:cs="仿宋_GB2312"/>
          <w:color w:val="000000"/>
          <w:kern w:val="0"/>
          <w:sz w:val="32"/>
          <w:szCs w:val="32"/>
          <w:lang w:val="en-US" w:eastAsia="zh-CN" w:bidi="ar"/>
        </w:rPr>
        <w:t>贯彻落实习近平总书记对御窑厂遗址保护工作两次重要批示精神；</w:t>
      </w:r>
      <w:r>
        <w:rPr>
          <w:rFonts w:hint="eastAsia" w:ascii="仿宋_GB2312" w:hAnsi="宋体" w:eastAsia="仿宋_GB2312" w:cs="仿宋_GB2312"/>
          <w:color w:val="000000"/>
          <w:kern w:val="0"/>
          <w:sz w:val="32"/>
          <w:szCs w:val="32"/>
          <w:lang w:val="en-US" w:eastAsia="zh-CN" w:bidi="ar"/>
        </w:rPr>
        <w:t>4.</w:t>
      </w:r>
      <w:r>
        <w:rPr>
          <w:rFonts w:hint="default" w:ascii="仿宋_GB2312" w:hAnsi="宋体" w:eastAsia="仿宋_GB2312" w:cs="仿宋_GB2312"/>
          <w:color w:val="000000"/>
          <w:kern w:val="0"/>
          <w:sz w:val="32"/>
          <w:szCs w:val="32"/>
          <w:lang w:val="en-US" w:eastAsia="zh-CN" w:bidi="ar"/>
        </w:rPr>
        <w:t>贯彻落实习近平总书记“要建好景德镇国家陶瓷文化传承创新试验区，打造对外文化交流新平台”重要指示精神；</w:t>
      </w:r>
      <w:r>
        <w:rPr>
          <w:rFonts w:hint="eastAsia" w:ascii="仿宋_GB2312" w:hAnsi="宋体" w:eastAsia="仿宋_GB2312" w:cs="仿宋_GB2312"/>
          <w:color w:val="000000"/>
          <w:kern w:val="0"/>
          <w:sz w:val="32"/>
          <w:szCs w:val="32"/>
          <w:lang w:val="en-US" w:eastAsia="zh-CN" w:bidi="ar"/>
        </w:rPr>
        <w:t>5.</w:t>
      </w:r>
      <w:r>
        <w:rPr>
          <w:rFonts w:hint="default" w:ascii="仿宋_GB2312" w:hAnsi="宋体" w:eastAsia="仿宋_GB2312" w:cs="仿宋_GB2312"/>
          <w:color w:val="000000"/>
          <w:kern w:val="0"/>
          <w:sz w:val="32"/>
          <w:szCs w:val="32"/>
          <w:lang w:val="en-US" w:eastAsia="zh-CN" w:bidi="ar"/>
        </w:rPr>
        <w:t>贯彻落实习近平总书记向第五届“阿拉伯艺术节”致贺信精神；</w:t>
      </w:r>
      <w:r>
        <w:rPr>
          <w:rFonts w:hint="eastAsia" w:ascii="仿宋_GB2312" w:hAnsi="宋体" w:eastAsia="仿宋_GB2312" w:cs="仿宋_GB2312"/>
          <w:color w:val="000000"/>
          <w:kern w:val="0"/>
          <w:sz w:val="32"/>
          <w:szCs w:val="32"/>
          <w:lang w:val="en-US" w:eastAsia="zh-CN" w:bidi="ar"/>
        </w:rPr>
        <w:t>6.</w:t>
      </w:r>
      <w:r>
        <w:rPr>
          <w:rFonts w:hint="default" w:ascii="仿宋_GB2312" w:hAnsi="宋体" w:eastAsia="仿宋_GB2312" w:cs="仿宋_GB2312"/>
          <w:color w:val="000000"/>
          <w:kern w:val="0"/>
          <w:sz w:val="32"/>
          <w:szCs w:val="32"/>
          <w:lang w:val="en-US" w:eastAsia="zh-CN" w:bidi="ar"/>
        </w:rPr>
        <w:t>贯彻落实习近平总书记对本地本部门本领域相关工作重要指示批示精神情况；</w:t>
      </w:r>
      <w:r>
        <w:rPr>
          <w:rFonts w:hint="eastAsia" w:ascii="仿宋_GB2312" w:hAnsi="宋体" w:eastAsia="仿宋_GB2312" w:cs="仿宋_GB2312"/>
          <w:color w:val="000000"/>
          <w:kern w:val="0"/>
          <w:sz w:val="32"/>
          <w:szCs w:val="32"/>
          <w:lang w:val="en-US" w:eastAsia="zh-CN" w:bidi="ar"/>
        </w:rPr>
        <w:t>7.</w:t>
      </w:r>
      <w:r>
        <w:rPr>
          <w:rFonts w:hint="default" w:ascii="仿宋_GB2312" w:hAnsi="宋体" w:eastAsia="仿宋_GB2312" w:cs="仿宋_GB2312"/>
          <w:color w:val="000000"/>
          <w:kern w:val="0"/>
          <w:sz w:val="32"/>
          <w:szCs w:val="32"/>
          <w:lang w:val="en-US" w:eastAsia="zh-CN" w:bidi="ar"/>
        </w:rPr>
        <w:t>贯彻落实党中央决策部署以及</w:t>
      </w:r>
      <w:r>
        <w:rPr>
          <w:rFonts w:hint="eastAsia" w:ascii="仿宋_GB2312" w:hAnsi="宋体" w:eastAsia="仿宋_GB2312" w:cs="仿宋_GB2312"/>
          <w:color w:val="000000"/>
          <w:kern w:val="0"/>
          <w:sz w:val="32"/>
          <w:szCs w:val="32"/>
          <w:lang w:val="en-US" w:eastAsia="zh-CN" w:bidi="ar"/>
        </w:rPr>
        <w:t>市</w:t>
      </w:r>
      <w:r>
        <w:rPr>
          <w:rFonts w:hint="default" w:ascii="仿宋_GB2312" w:hAnsi="宋体" w:eastAsia="仿宋_GB2312" w:cs="仿宋_GB2312"/>
          <w:color w:val="000000"/>
          <w:kern w:val="0"/>
          <w:sz w:val="32"/>
          <w:szCs w:val="32"/>
          <w:lang w:val="en-US" w:eastAsia="zh-CN" w:bidi="ar"/>
        </w:rPr>
        <w:t>委、</w:t>
      </w:r>
      <w:r>
        <w:rPr>
          <w:rFonts w:hint="eastAsia" w:ascii="仿宋_GB2312" w:hAnsi="宋体" w:eastAsia="仿宋_GB2312" w:cs="仿宋_GB2312"/>
          <w:color w:val="000000"/>
          <w:kern w:val="0"/>
          <w:sz w:val="32"/>
          <w:szCs w:val="32"/>
          <w:lang w:val="en-US" w:eastAsia="zh-CN" w:bidi="ar"/>
        </w:rPr>
        <w:t>市</w:t>
      </w:r>
      <w:r>
        <w:rPr>
          <w:rFonts w:hint="default" w:ascii="仿宋_GB2312" w:hAnsi="宋体" w:eastAsia="仿宋_GB2312" w:cs="仿宋_GB2312"/>
          <w:color w:val="000000"/>
          <w:kern w:val="0"/>
          <w:sz w:val="32"/>
          <w:szCs w:val="32"/>
          <w:lang w:val="en-US" w:eastAsia="zh-CN" w:bidi="ar"/>
        </w:rPr>
        <w:t>政府工作要求等主要情况和重点问题。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（二）贯彻新发展理念、构建新发展格局、推动高质量发展等方面。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深入实施创新驱动发展战略，解决创新投入不足、创新主体不强、创新平台不多问题；</w:t>
      </w:r>
      <w:r>
        <w:rPr>
          <w:rFonts w:hint="eastAsia" w:ascii="仿宋_GB2312" w:hAnsi="宋体" w:eastAsia="仿宋_GB2312" w:cs="仿宋_GB2312"/>
          <w:color w:val="000000"/>
          <w:kern w:val="0"/>
          <w:sz w:val="32"/>
          <w:szCs w:val="32"/>
          <w:lang w:val="en-US" w:eastAsia="zh-CN" w:bidi="ar"/>
        </w:rPr>
        <w:t>2.围绕市委市政府“打造206国道工业发展轴重要支撑”战略部署要求，全力推进工业倍增、招商引资、项目建设等各项工作，持续推动产业转型升级，为县域经济高质量发展注入强劲动能；3.</w:t>
      </w:r>
      <w:r>
        <w:rPr>
          <w:rFonts w:hint="default" w:ascii="仿宋_GB2312" w:hAnsi="宋体" w:eastAsia="仿宋_GB2312" w:cs="仿宋_GB2312"/>
          <w:color w:val="000000"/>
          <w:kern w:val="0"/>
          <w:sz w:val="32"/>
          <w:szCs w:val="32"/>
          <w:lang w:val="en-US" w:eastAsia="zh-CN" w:bidi="ar"/>
        </w:rPr>
        <w:t>积极扩大有效投资，保持投资平稳增长；</w:t>
      </w:r>
      <w:r>
        <w:rPr>
          <w:rFonts w:hint="eastAsia" w:ascii="仿宋_GB2312" w:hAnsi="宋体" w:eastAsia="仿宋_GB2312" w:cs="仿宋_GB2312"/>
          <w:color w:val="000000"/>
          <w:kern w:val="0"/>
          <w:sz w:val="32"/>
          <w:szCs w:val="32"/>
          <w:lang w:val="en-US" w:eastAsia="zh-CN" w:bidi="ar"/>
        </w:rPr>
        <w:t>围绕“2+1+N”特色产业体系，实施“腾笼换鸟”战略，深入实施“5020”攻坚行动</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4.聚力数字经济做优做强“一号发展工程”，以昌江区电子信息产业园、昌江区数字经济发展中心、宁封窑数字经济产业基地为主要载体，有效推动数字经济高质量发展；5.</w:t>
      </w:r>
      <w:r>
        <w:rPr>
          <w:rFonts w:hint="default" w:ascii="仿宋_GB2312" w:hAnsi="宋体" w:eastAsia="仿宋_GB2312" w:cs="仿宋_GB2312"/>
          <w:color w:val="000000"/>
          <w:kern w:val="0"/>
          <w:sz w:val="32"/>
          <w:szCs w:val="32"/>
          <w:lang w:val="en-US" w:eastAsia="zh-CN" w:bidi="ar"/>
        </w:rPr>
        <w:t>始终坚持“两个毫不动摇”，围绕打造一流营商环境，持续优化企业全生命周期服务，全面加强营商环境</w:t>
      </w:r>
      <w:r>
        <w:rPr>
          <w:rFonts w:hint="eastAsia" w:ascii="仿宋_GB2312" w:hAnsi="宋体" w:eastAsia="仿宋_GB2312" w:cs="仿宋_GB2312"/>
          <w:color w:val="000000"/>
          <w:kern w:val="0"/>
          <w:sz w:val="32"/>
          <w:szCs w:val="32"/>
          <w:lang w:val="en-US" w:eastAsia="zh-CN" w:bidi="ar"/>
        </w:rPr>
        <w:t>“千干进万企”“企业服务日”</w:t>
      </w:r>
      <w:r>
        <w:rPr>
          <w:rFonts w:hint="default" w:ascii="仿宋_GB2312" w:hAnsi="宋体" w:eastAsia="仿宋_GB2312" w:cs="仿宋_GB2312"/>
          <w:color w:val="000000"/>
          <w:kern w:val="0"/>
          <w:sz w:val="32"/>
          <w:szCs w:val="32"/>
          <w:lang w:val="en-US" w:eastAsia="zh-CN" w:bidi="ar"/>
        </w:rPr>
        <w:t>，深化政企圆桌会议</w:t>
      </w:r>
      <w:r>
        <w:rPr>
          <w:rFonts w:hint="eastAsia" w:ascii="仿宋_GB2312" w:hAnsi="宋体" w:eastAsia="仿宋_GB2312" w:cs="仿宋_GB2312"/>
          <w:color w:val="000000"/>
          <w:kern w:val="0"/>
          <w:sz w:val="32"/>
          <w:szCs w:val="32"/>
          <w:lang w:val="en-US" w:eastAsia="zh-CN" w:bidi="ar"/>
        </w:rPr>
        <w:t>、“企业安静期”</w:t>
      </w:r>
      <w:r>
        <w:rPr>
          <w:rFonts w:hint="default" w:ascii="仿宋_GB2312" w:hAnsi="宋体" w:eastAsia="仿宋_GB2312" w:cs="仿宋_GB2312"/>
          <w:color w:val="000000"/>
          <w:kern w:val="0"/>
          <w:sz w:val="32"/>
          <w:szCs w:val="32"/>
          <w:lang w:val="en-US" w:eastAsia="zh-CN" w:bidi="ar"/>
        </w:rPr>
        <w:t>等制度机制，推动民营经济高质量发展情况</w:t>
      </w:r>
      <w:r>
        <w:rPr>
          <w:rFonts w:hint="eastAsia" w:ascii="仿宋_GB2312" w:hAnsi="宋体" w:eastAsia="仿宋_GB2312" w:cs="仿宋_GB2312"/>
          <w:color w:val="000000"/>
          <w:kern w:val="0"/>
          <w:sz w:val="32"/>
          <w:szCs w:val="32"/>
          <w:lang w:val="en-US" w:eastAsia="zh-CN" w:bidi="ar"/>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（三）统筹发展和安全等方面。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1.深化市域社会治理现代化试点，加快推进区法院民调中心建设，常态化开展扫黑除恶斗争，完善社会治安防控体系，确保社会大局和谐稳定</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2.健全完善基层应急管理机制能力建设和信息化建设，推进应急人员队伍正规化建设。强化危化品、自建房、城镇燃气消防等重点领域治理，坚决防范遏制重特大事故发生；3.加强地方政府债务管理，推进债务风险源头管控，防范化解金融领域风险。</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（四）全面深化改革开放等方面。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深化重点领域改革，加大国资平台改革力度，加强国资监管和风险防范，进一步理顺完善临聘人员管理体制机制；2.深入推进零基预算和预算绩效管理改革，实施区乡财政体制机制改革。持续深化供销合作社综合改革，增强为农服务功能；3.进一步激发市场活力、持续深化“放管服”改革，不断优化营商环境，推动构建诚实守信、风清气正、公平正义、服务高效的营商环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（五）推进文化自信等方面。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1.加大文化遗产保护力度，实施预防性保护和数字化保护利用，推进丽阳窑遗址保护安防工程，加快推进三闾庙历史文化街区建设；2.</w:t>
      </w:r>
      <w:r>
        <w:rPr>
          <w:rFonts w:hint="default" w:ascii="仿宋_GB2312" w:hAnsi="宋体" w:eastAsia="仿宋_GB2312" w:cs="仿宋_GB2312"/>
          <w:color w:val="000000"/>
          <w:kern w:val="0"/>
          <w:sz w:val="32"/>
          <w:szCs w:val="32"/>
          <w:lang w:val="en-US" w:eastAsia="zh-CN" w:bidi="ar"/>
        </w:rPr>
        <w:t>深入挖掘</w:t>
      </w:r>
      <w:r>
        <w:rPr>
          <w:rFonts w:hint="eastAsia" w:ascii="仿宋_GB2312" w:hAnsi="宋体" w:eastAsia="仿宋_GB2312" w:cs="仿宋_GB2312"/>
          <w:color w:val="000000"/>
          <w:kern w:val="0"/>
          <w:sz w:val="32"/>
          <w:szCs w:val="32"/>
          <w:lang w:val="en-US" w:eastAsia="zh-CN" w:bidi="ar"/>
        </w:rPr>
        <w:t>昌江</w:t>
      </w:r>
      <w:r>
        <w:rPr>
          <w:rFonts w:hint="default" w:ascii="仿宋_GB2312" w:hAnsi="宋体" w:eastAsia="仿宋_GB2312" w:cs="仿宋_GB2312"/>
          <w:color w:val="000000"/>
          <w:kern w:val="0"/>
          <w:sz w:val="32"/>
          <w:szCs w:val="32"/>
          <w:lang w:val="en-US" w:eastAsia="zh-CN" w:bidi="ar"/>
        </w:rPr>
        <w:t>文化优秀特质，</w:t>
      </w:r>
      <w:r>
        <w:rPr>
          <w:rFonts w:hint="eastAsia" w:ascii="仿宋_GB2312" w:hAnsi="宋体" w:eastAsia="仿宋_GB2312" w:cs="仿宋_GB2312"/>
          <w:color w:val="000000"/>
          <w:kern w:val="0"/>
          <w:sz w:val="32"/>
          <w:szCs w:val="32"/>
          <w:lang w:val="en-US" w:eastAsia="zh-CN" w:bidi="ar"/>
        </w:rPr>
        <w:t>推进传统村落、古建筑及革命旧址保护与开发，宁封窑创国家4A级旅游景区，锦绣昌南、冷水尖等景点，月亮湖景区旅游规划，加快打造荷塘乡童坊村红色旅游网红打卡点为实现乡村全面振兴提供精神动力和发展活力</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3.进文旅融合，培育以陶瓷设计与创作为特色的研学经济、体验经济，开发美食街、农家乐等旅游产品，提升中国陶瓷城消费品牌竞争力。做活做靓昌南里文化街区，促进西市区夜经济。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（六）加快“两区”融合发展等方面。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牢固树立融合发展理念，坚持“四个融合（两区融合、产城融合、城乡融合、党建融合）”的新发展定位，深化“两区”合作，开创“一区多园”融合发展新局面；2.围绕链条融合强推动，大力推进电子信息产业园二期建设，为电子信息产业“强链补链延链”，电子信息产业园与高新区数字经济产业园连片发展，强化206国道工业发展轴支撑作用；3.推进与高新区教育体育、文化旅游、卫生健康等非直接涉企社会事务一体化发展，共同完善一张公共服务网；4.打造西片区，抓好人才要素保障和基础设施配套工程，充分发挥产业园区平台优势，加大标准厂房建设力度，做好融资、用地、为企服务等要素保障，做细做实做深服务保障，服务于两区融合发展；5.坚定与高新区实施“两区”融合发展思路，加快与乐平区域协调发展步伐，打造“景乐一体”、“昌乐一体”融合发展；6.构建优质高效现代服务业体系为目标，创新引进服务型制造和工业互联网机构等生产性服务业，打造优质生活性服务业，以公共服务升级加速推动“产城融合”走向“产城人融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（七）人民最关心最直接最现实的利益问题等方面。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推进</w:t>
      </w:r>
      <w:r>
        <w:rPr>
          <w:rFonts w:hint="eastAsia" w:ascii="仿宋_GB2312" w:hAnsi="宋体" w:eastAsia="仿宋_GB2312" w:cs="仿宋_GB2312"/>
          <w:color w:val="000000"/>
          <w:kern w:val="0"/>
          <w:sz w:val="32"/>
          <w:szCs w:val="32"/>
          <w:lang w:val="en-US" w:eastAsia="zh-CN" w:bidi="ar"/>
        </w:rPr>
        <w:t>市、区</w:t>
      </w:r>
      <w:r>
        <w:rPr>
          <w:rFonts w:hint="default" w:ascii="仿宋_GB2312" w:hAnsi="宋体" w:eastAsia="仿宋_GB2312" w:cs="仿宋_GB2312"/>
          <w:color w:val="000000"/>
          <w:kern w:val="0"/>
          <w:sz w:val="32"/>
          <w:szCs w:val="32"/>
          <w:lang w:val="en-US" w:eastAsia="zh-CN" w:bidi="ar"/>
        </w:rPr>
        <w:t>政府</w:t>
      </w:r>
      <w:r>
        <w:rPr>
          <w:rFonts w:hint="eastAsia" w:ascii="仿宋_GB2312" w:hAnsi="宋体" w:eastAsia="仿宋_GB2312" w:cs="仿宋_GB2312"/>
          <w:color w:val="000000"/>
          <w:kern w:val="0"/>
          <w:sz w:val="32"/>
          <w:szCs w:val="32"/>
          <w:lang w:val="en-US" w:eastAsia="zh-CN" w:bidi="ar"/>
        </w:rPr>
        <w:t>“十件”</w:t>
      </w:r>
      <w:r>
        <w:rPr>
          <w:rFonts w:hint="default" w:ascii="仿宋_GB2312" w:hAnsi="宋体" w:eastAsia="仿宋_GB2312" w:cs="仿宋_GB2312"/>
          <w:color w:val="000000"/>
          <w:kern w:val="0"/>
          <w:sz w:val="32"/>
          <w:szCs w:val="32"/>
          <w:lang w:val="en-US" w:eastAsia="zh-CN" w:bidi="ar"/>
        </w:rPr>
        <w:t>民生实事项目建设情况；</w:t>
      </w: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以创建全国文明城市为抓手，加快</w:t>
      </w:r>
      <w:r>
        <w:rPr>
          <w:rFonts w:hint="eastAsia" w:ascii="仿宋_GB2312" w:hAnsi="宋体" w:eastAsia="仿宋_GB2312" w:cs="仿宋_GB2312"/>
          <w:color w:val="000000"/>
          <w:kern w:val="0"/>
          <w:sz w:val="32"/>
          <w:szCs w:val="32"/>
          <w:lang w:val="en-US" w:eastAsia="zh-CN" w:bidi="ar"/>
        </w:rPr>
        <w:t>森林公园康养中心和吕蒙街道敬老院改造升级</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昌江中医医院、</w:t>
      </w:r>
      <w:r>
        <w:rPr>
          <w:rFonts w:hint="default" w:ascii="仿宋_GB2312" w:hAnsi="宋体" w:eastAsia="仿宋_GB2312" w:cs="仿宋_GB2312"/>
          <w:color w:val="000000"/>
          <w:kern w:val="0"/>
          <w:sz w:val="32"/>
          <w:szCs w:val="32"/>
          <w:lang w:val="en-US" w:eastAsia="zh-CN" w:bidi="ar"/>
        </w:rPr>
        <w:t>农贸市场等一批重大改造项目建设，</w:t>
      </w:r>
      <w:r>
        <w:rPr>
          <w:rFonts w:hint="eastAsia" w:ascii="仿宋_GB2312" w:hAnsi="宋体" w:eastAsia="仿宋_GB2312" w:cs="仿宋_GB2312"/>
          <w:color w:val="000000"/>
          <w:kern w:val="0"/>
          <w:sz w:val="32"/>
          <w:szCs w:val="32"/>
          <w:lang w:val="en-US" w:eastAsia="zh-CN" w:bidi="ar"/>
        </w:rPr>
        <w:t>引导昌南、园林、古城邻里中心业态发展，</w:t>
      </w:r>
      <w:r>
        <w:rPr>
          <w:rFonts w:hint="default" w:ascii="仿宋_GB2312" w:hAnsi="宋体" w:eastAsia="仿宋_GB2312" w:cs="仿宋_GB2312"/>
          <w:color w:val="000000"/>
          <w:kern w:val="0"/>
          <w:sz w:val="32"/>
          <w:szCs w:val="32"/>
          <w:lang w:val="en-US" w:eastAsia="zh-CN" w:bidi="ar"/>
        </w:rPr>
        <w:t>推动城市功能品质提升情况；</w:t>
      </w:r>
      <w:r>
        <w:rPr>
          <w:rFonts w:hint="eastAsia" w:ascii="仿宋_GB2312" w:hAnsi="宋体" w:eastAsia="仿宋_GB2312" w:cs="仿宋_GB2312"/>
          <w:color w:val="000000"/>
          <w:kern w:val="0"/>
          <w:sz w:val="32"/>
          <w:szCs w:val="32"/>
          <w:lang w:val="en-US" w:eastAsia="zh-CN" w:bidi="ar"/>
        </w:rPr>
        <w:t>3.</w:t>
      </w:r>
      <w:r>
        <w:rPr>
          <w:rFonts w:hint="default" w:ascii="仿宋_GB2312" w:hAnsi="宋体" w:eastAsia="仿宋_GB2312" w:cs="仿宋_GB2312"/>
          <w:color w:val="000000"/>
          <w:kern w:val="0"/>
          <w:sz w:val="32"/>
          <w:szCs w:val="32"/>
          <w:lang w:val="en-US" w:eastAsia="zh-CN" w:bidi="ar"/>
        </w:rPr>
        <w:t>完善公共就业服务体系建设，加大公共就业服务供给，抓好高校毕业生、农民工等重点群体就业情况</w:t>
      </w:r>
      <w:r>
        <w:rPr>
          <w:rFonts w:hint="eastAsia" w:ascii="仿宋_GB2312" w:hAnsi="宋体" w:eastAsia="仿宋_GB2312" w:cs="仿宋_GB2312"/>
          <w:color w:val="000000"/>
          <w:kern w:val="0"/>
          <w:sz w:val="32"/>
          <w:szCs w:val="32"/>
          <w:lang w:val="en-US" w:eastAsia="zh-CN" w:bidi="ar"/>
        </w:rPr>
        <w:t>；4.</w:t>
      </w:r>
      <w:r>
        <w:rPr>
          <w:rFonts w:hint="default" w:ascii="仿宋_GB2312" w:hAnsi="宋体" w:eastAsia="仿宋_GB2312" w:cs="仿宋_GB2312"/>
          <w:color w:val="000000"/>
          <w:kern w:val="0"/>
          <w:sz w:val="32"/>
          <w:szCs w:val="32"/>
          <w:lang w:val="en-US" w:eastAsia="zh-CN" w:bidi="ar"/>
        </w:rPr>
        <w:t>办好人民满意的现代教育，推动城乡义务教育均衡和一体化发展，深化职业教育和技工教育改革，加快推进高等教育优质内涵发展，培养高素质专业化教师队伍情况；</w:t>
      </w:r>
      <w:r>
        <w:rPr>
          <w:rFonts w:hint="eastAsia" w:ascii="仿宋_GB2312" w:hAnsi="宋体" w:eastAsia="仿宋_GB2312" w:cs="仿宋_GB2312"/>
          <w:color w:val="000000"/>
          <w:kern w:val="0"/>
          <w:sz w:val="32"/>
          <w:szCs w:val="32"/>
          <w:lang w:val="en-US" w:eastAsia="zh-CN" w:bidi="ar"/>
        </w:rPr>
        <w:t>5.</w:t>
      </w:r>
      <w:r>
        <w:rPr>
          <w:rFonts w:hint="default" w:ascii="仿宋_GB2312" w:hAnsi="宋体" w:eastAsia="仿宋_GB2312" w:cs="仿宋_GB2312"/>
          <w:color w:val="000000"/>
          <w:kern w:val="0"/>
          <w:sz w:val="32"/>
          <w:szCs w:val="32"/>
          <w:lang w:val="en-US" w:eastAsia="zh-CN" w:bidi="ar"/>
        </w:rPr>
        <w:t>推动乡村医疗服务体系建设，加强重大疫情防控救治体系和应急能力建设；</w:t>
      </w:r>
      <w:r>
        <w:rPr>
          <w:rFonts w:hint="eastAsia" w:ascii="仿宋_GB2312" w:hAnsi="宋体" w:eastAsia="仿宋_GB2312" w:cs="仿宋_GB2312"/>
          <w:color w:val="000000"/>
          <w:kern w:val="0"/>
          <w:sz w:val="32"/>
          <w:szCs w:val="32"/>
          <w:lang w:val="en-US" w:eastAsia="zh-CN" w:bidi="ar"/>
        </w:rPr>
        <w:t>6.</w:t>
      </w:r>
      <w:r>
        <w:rPr>
          <w:rFonts w:hint="default" w:ascii="仿宋_GB2312" w:hAnsi="宋体" w:eastAsia="仿宋_GB2312" w:cs="仿宋_GB2312"/>
          <w:color w:val="000000"/>
          <w:kern w:val="0"/>
          <w:sz w:val="32"/>
          <w:szCs w:val="32"/>
          <w:lang w:val="en-US" w:eastAsia="zh-CN" w:bidi="ar"/>
        </w:rPr>
        <w:t>扎实推进巩固拓展脱贫攻坚成果同乡村振兴有效衔接，</w:t>
      </w:r>
      <w:r>
        <w:rPr>
          <w:rFonts w:hint="eastAsia" w:ascii="仿宋_GB2312" w:hAnsi="宋体" w:eastAsia="仿宋_GB2312" w:cs="仿宋_GB2312"/>
          <w:color w:val="000000"/>
          <w:kern w:val="0"/>
          <w:sz w:val="32"/>
          <w:szCs w:val="32"/>
          <w:lang w:val="en-US" w:eastAsia="zh-CN" w:bidi="ar"/>
        </w:rPr>
        <w:t>加快补齐重点帮扶村基础设施和公共服务短板</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7.推动建立多主体供给、多渠道保障、租购并举的住房制度，支持刚性和改善性住房需求释放，解决群众住房困难等；8.加快推进社保扩面行动，健全完善社会救助主动发现机制，加快构建覆盖全民、统筹城乡、公平统一、安全规范、可持续的多层次社会保障体系情况等。</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（八）</w:t>
      </w:r>
      <w:r>
        <w:rPr>
          <w:rFonts w:hint="default" w:ascii="楷体_GB2312" w:eastAsia="楷体_GB2312" w:cs="楷体_GB2312"/>
          <w:b/>
          <w:bCs/>
          <w:color w:val="000000"/>
          <w:sz w:val="31"/>
          <w:szCs w:val="31"/>
        </w:rPr>
        <w:t>充分依托生态优势，深化国家生态文明示范市建设</w:t>
      </w:r>
      <w:r>
        <w:rPr>
          <w:rFonts w:hint="eastAsia" w:ascii="楷体" w:hAnsi="楷体" w:eastAsia="楷体" w:cs="楷体"/>
          <w:b/>
          <w:bCs/>
          <w:color w:val="000000"/>
          <w:kern w:val="0"/>
          <w:sz w:val="32"/>
          <w:szCs w:val="32"/>
          <w:lang w:val="en-US" w:eastAsia="zh-CN" w:bidi="ar"/>
        </w:rPr>
        <w:t>等方面。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牢固树立和践行绿水青山就是金山银山理念，拓宽绿水青山与金山银山转换通道，探索建立健全生态产品价值实现机制情况；</w:t>
      </w: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积极稳妥推进碳达峰碳中和战略，加快发展方式绿色转型，加大落后产能淘汰和过剩产能压减力度，遏制“两高”项目盲目发展，推动重点行业减污降碳情况</w:t>
      </w:r>
      <w:r>
        <w:rPr>
          <w:rFonts w:hint="eastAsia" w:ascii="仿宋_GB2312" w:hAnsi="宋体" w:eastAsia="仿宋_GB2312" w:cs="仿宋_GB2312"/>
          <w:color w:val="000000"/>
          <w:kern w:val="0"/>
          <w:sz w:val="32"/>
          <w:szCs w:val="32"/>
          <w:lang w:val="en-US" w:eastAsia="zh-CN" w:bidi="ar"/>
        </w:rPr>
        <w:t>；3.</w:t>
      </w:r>
      <w:r>
        <w:rPr>
          <w:rFonts w:hint="default" w:ascii="仿宋_GB2312" w:hAnsi="宋体" w:eastAsia="仿宋_GB2312" w:cs="仿宋_GB2312"/>
          <w:color w:val="000000"/>
          <w:kern w:val="0"/>
          <w:sz w:val="32"/>
          <w:szCs w:val="32"/>
          <w:lang w:val="en-US" w:eastAsia="zh-CN" w:bidi="ar"/>
        </w:rPr>
        <w:t>深入打好污染防治攻坚战，</w:t>
      </w:r>
      <w:r>
        <w:rPr>
          <w:rFonts w:hint="eastAsia" w:ascii="仿宋_GB2312" w:hAnsi="宋体" w:eastAsia="仿宋_GB2312" w:cs="仿宋_GB2312"/>
          <w:color w:val="000000"/>
          <w:kern w:val="0"/>
          <w:sz w:val="32"/>
          <w:szCs w:val="32"/>
          <w:lang w:val="en-US" w:eastAsia="zh-CN" w:bidi="ar"/>
        </w:rPr>
        <w:t>加强生态系统保护修复，实施河（湖）长制、林长制升级版，</w:t>
      </w:r>
      <w:r>
        <w:rPr>
          <w:rFonts w:hint="default" w:ascii="仿宋_GB2312" w:hAnsi="宋体" w:eastAsia="仿宋_GB2312" w:cs="仿宋_GB2312"/>
          <w:color w:val="000000"/>
          <w:kern w:val="0"/>
          <w:sz w:val="32"/>
          <w:szCs w:val="32"/>
          <w:lang w:val="en-US" w:eastAsia="zh-CN" w:bidi="ar"/>
        </w:rPr>
        <w:t>持续抓好中央、省环保督察及“回头看”反馈问题整改，严厉打击环境违法行为</w:t>
      </w:r>
      <w:r>
        <w:rPr>
          <w:rFonts w:hint="eastAsia" w:ascii="仿宋_GB2312" w:hAnsi="宋体" w:eastAsia="仿宋_GB2312" w:cs="仿宋_GB2312"/>
          <w:color w:val="000000"/>
          <w:kern w:val="0"/>
          <w:sz w:val="32"/>
          <w:szCs w:val="32"/>
          <w:lang w:val="en-US" w:eastAsia="zh-CN" w:bidi="ar"/>
        </w:rPr>
        <w:t>;4.巩固拓展农村人居环境整治三年行动成果，以农村厕所革命、生活污水垃圾治理、村容村貌提升为重点，全面提升农村人居环境质量，为全面推进乡村振兴提供有力支撑。</w:t>
      </w:r>
    </w:p>
    <w:p>
      <w:pPr>
        <w:pStyle w:val="14"/>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（九）持续加强政府自身建设方面。</w:t>
      </w:r>
    </w:p>
    <w:p>
      <w:pPr>
        <w:pStyle w:val="14"/>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坚持和加强全</w:t>
      </w:r>
      <w:r>
        <w:rPr>
          <w:rFonts w:hint="eastAsia" w:ascii="仿宋_GB2312" w:hAnsi="宋体" w:eastAsia="仿宋_GB2312" w:cs="仿宋_GB2312"/>
          <w:color w:val="000000"/>
          <w:kern w:val="0"/>
          <w:sz w:val="32"/>
          <w:szCs w:val="32"/>
          <w:lang w:val="en-US" w:eastAsia="zh-CN" w:bidi="ar"/>
        </w:rPr>
        <w:t>区</w:t>
      </w:r>
      <w:r>
        <w:rPr>
          <w:rFonts w:hint="default" w:ascii="仿宋_GB2312" w:hAnsi="宋体" w:eastAsia="仿宋_GB2312" w:cs="仿宋_GB2312"/>
          <w:color w:val="000000"/>
          <w:kern w:val="0"/>
          <w:sz w:val="32"/>
          <w:szCs w:val="32"/>
          <w:lang w:val="en-US" w:eastAsia="zh-CN" w:bidi="ar"/>
        </w:rPr>
        <w:t>政府系统党的全面领导，压实管党治党政治责任；树立和践行正确政绩观；加强和创新基层社会治理，完善网格化管理、精细化服务、信息化支撑的基层治理平台，健全城乡社区治理体系情况；</w:t>
      </w:r>
      <w:r>
        <w:rPr>
          <w:rFonts w:hint="eastAsia" w:ascii="仿宋_GB2312"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强化社会治安整体防控，发展壮大群防群治力量，推进平安</w:t>
      </w:r>
      <w:r>
        <w:rPr>
          <w:rFonts w:hint="eastAsia" w:ascii="仿宋_GB2312" w:hAnsi="宋体" w:eastAsia="仿宋_GB2312" w:cs="仿宋_GB2312"/>
          <w:color w:val="000000"/>
          <w:kern w:val="0"/>
          <w:sz w:val="32"/>
          <w:szCs w:val="32"/>
          <w:lang w:val="en-US" w:eastAsia="zh-CN" w:bidi="ar"/>
        </w:rPr>
        <w:t>昌江</w:t>
      </w:r>
      <w:r>
        <w:rPr>
          <w:rFonts w:hint="default" w:ascii="仿宋_GB2312" w:hAnsi="宋体" w:eastAsia="仿宋_GB2312" w:cs="仿宋_GB2312"/>
          <w:color w:val="000000"/>
          <w:kern w:val="0"/>
          <w:sz w:val="32"/>
          <w:szCs w:val="32"/>
          <w:lang w:val="en-US" w:eastAsia="zh-CN" w:bidi="ar"/>
        </w:rPr>
        <w:t>建设情况；</w:t>
      </w:r>
      <w:r>
        <w:rPr>
          <w:rFonts w:hint="eastAsia" w:ascii="仿宋_GB2312" w:eastAsia="仿宋_GB2312" w:cs="仿宋_GB2312"/>
          <w:color w:val="000000"/>
          <w:kern w:val="0"/>
          <w:sz w:val="32"/>
          <w:szCs w:val="32"/>
          <w:lang w:val="en-US" w:eastAsia="zh-CN" w:bidi="ar"/>
        </w:rPr>
        <w:t>3.</w:t>
      </w:r>
      <w:r>
        <w:rPr>
          <w:rFonts w:hint="default" w:ascii="仿宋_GB2312" w:hAnsi="宋体" w:eastAsia="仿宋_GB2312" w:cs="仿宋_GB2312"/>
          <w:color w:val="000000"/>
          <w:kern w:val="0"/>
          <w:sz w:val="32"/>
          <w:szCs w:val="32"/>
          <w:lang w:val="en-US" w:eastAsia="zh-CN" w:bidi="ar"/>
        </w:rPr>
        <w:t>提升防灾减灾救灾和重大突发公共事件应急处置保障能力，完善公共安全体系，推动公共安全治理模式向事前预防转型情况；</w:t>
      </w:r>
      <w:r>
        <w:rPr>
          <w:rFonts w:hint="eastAsia" w:ascii="仿宋_GB2312" w:eastAsia="仿宋_GB2312" w:cs="仿宋_GB2312"/>
          <w:color w:val="000000"/>
          <w:kern w:val="0"/>
          <w:sz w:val="32"/>
          <w:szCs w:val="32"/>
          <w:lang w:val="en-US" w:eastAsia="zh-CN" w:bidi="ar"/>
        </w:rPr>
        <w:t>4.</w:t>
      </w:r>
      <w:r>
        <w:rPr>
          <w:rFonts w:hint="default" w:ascii="仿宋_GB2312" w:hAnsi="宋体" w:eastAsia="仿宋_GB2312" w:cs="仿宋_GB2312"/>
          <w:color w:val="000000"/>
          <w:kern w:val="0"/>
          <w:sz w:val="32"/>
          <w:szCs w:val="32"/>
          <w:lang w:val="en-US" w:eastAsia="zh-CN" w:bidi="ar"/>
        </w:rPr>
        <w:t>深入贯彻落实中央八项规定精神，重点纠治形式主义、官僚主义；坚决破除特权思想和特权行为；</w:t>
      </w:r>
      <w:r>
        <w:rPr>
          <w:rFonts w:hint="eastAsia" w:ascii="仿宋_GB2312" w:eastAsia="仿宋_GB2312" w:cs="仿宋_GB2312"/>
          <w:color w:val="000000"/>
          <w:kern w:val="0"/>
          <w:sz w:val="32"/>
          <w:szCs w:val="32"/>
          <w:lang w:val="en-US" w:eastAsia="zh-CN" w:bidi="ar"/>
        </w:rPr>
        <w:t>5.</w:t>
      </w:r>
      <w:r>
        <w:rPr>
          <w:rFonts w:hint="default" w:ascii="仿宋_GB2312" w:hAnsi="宋体" w:eastAsia="仿宋_GB2312" w:cs="仿宋_GB2312"/>
          <w:color w:val="000000"/>
          <w:kern w:val="0"/>
          <w:sz w:val="32"/>
          <w:szCs w:val="32"/>
          <w:lang w:val="en-US" w:eastAsia="zh-CN" w:bidi="ar"/>
        </w:rPr>
        <w:t>激励干部干事创业、担当作为，全面构建亲清统一的新型政商关系；</w:t>
      </w:r>
      <w:r>
        <w:rPr>
          <w:rFonts w:hint="eastAsia" w:ascii="仿宋_GB2312" w:eastAsia="仿宋_GB2312" w:cs="仿宋_GB2312"/>
          <w:color w:val="000000"/>
          <w:kern w:val="0"/>
          <w:sz w:val="32"/>
          <w:szCs w:val="32"/>
          <w:lang w:val="en-US" w:eastAsia="zh-CN" w:bidi="ar"/>
        </w:rPr>
        <w:t>6.</w:t>
      </w:r>
      <w:r>
        <w:rPr>
          <w:rFonts w:hint="default" w:ascii="仿宋_GB2312" w:hAnsi="宋体" w:eastAsia="仿宋_GB2312" w:cs="仿宋_GB2312"/>
          <w:color w:val="000000"/>
          <w:kern w:val="0"/>
          <w:sz w:val="32"/>
          <w:szCs w:val="32"/>
          <w:lang w:val="en-US" w:eastAsia="zh-CN" w:bidi="ar"/>
        </w:rPr>
        <w:t>加强廉洁政府建设，一体推进不敢腐、不能腐、不想腐等主要情况和重点问题。</w:t>
      </w:r>
    </w:p>
    <w:p>
      <w:pPr>
        <w:pStyle w:val="14"/>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 w:hAnsi="楷体" w:eastAsia="楷体" w:cs="楷体"/>
          <w:b/>
          <w:bCs/>
          <w:color w:val="000000"/>
          <w:kern w:val="0"/>
          <w:sz w:val="32"/>
          <w:szCs w:val="32"/>
          <w:lang w:val="en-US" w:eastAsia="zh-CN" w:bidi="ar"/>
        </w:rPr>
      </w:pPr>
      <w:r>
        <w:rPr>
          <w:rFonts w:hint="eastAsia" w:ascii="楷体" w:hAnsi="楷体" w:eastAsia="楷体" w:cs="楷体"/>
          <w:b/>
          <w:bCs/>
          <w:color w:val="000000"/>
          <w:kern w:val="0"/>
          <w:sz w:val="32"/>
          <w:szCs w:val="32"/>
          <w:lang w:val="en-US" w:eastAsia="zh-CN" w:bidi="ar"/>
        </w:rPr>
        <w:t>（十）本地区本部门本单位长期未解决的老大难问题方面。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w:t>
      </w:r>
      <w:r>
        <w:rPr>
          <w:rFonts w:hint="default" w:ascii="仿宋_GB2312" w:hAnsi="宋体" w:eastAsia="仿宋_GB2312" w:cs="仿宋_GB2312"/>
          <w:color w:val="000000"/>
          <w:kern w:val="0"/>
          <w:sz w:val="32"/>
          <w:szCs w:val="32"/>
          <w:lang w:val="en-US" w:eastAsia="zh-CN" w:bidi="ar"/>
        </w:rPr>
        <w:t>经济社会发展的深层次问题、跨部门跨区域问题</w:t>
      </w: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群众反映的疑难复杂问题及历史遗留问题；</w:t>
      </w:r>
      <w:r>
        <w:rPr>
          <w:rFonts w:hint="eastAsia" w:ascii="仿宋_GB2312" w:hAnsi="宋体" w:eastAsia="仿宋_GB2312" w:cs="仿宋_GB2312"/>
          <w:color w:val="000000"/>
          <w:kern w:val="0"/>
          <w:sz w:val="32"/>
          <w:szCs w:val="32"/>
          <w:lang w:val="en-US" w:eastAsia="zh-CN" w:bidi="ar"/>
        </w:rPr>
        <w:t>3.中央、省、市各类巡视巡察、督导检查反馈指出的问题等。</w:t>
      </w:r>
    </w:p>
    <w:p>
      <w:pPr>
        <w:ind w:firstLine="640" w:firstLineChars="200"/>
        <w:rPr>
          <w:rFonts w:hint="eastAsia" w:ascii="仿宋" w:hAnsi="仿宋" w:eastAsia="仿宋" w:cs="仿宋"/>
          <w:sz w:val="32"/>
          <w:szCs w:val="32"/>
          <w:lang w:val="en-US" w:eastAsia="zh-CN"/>
        </w:rPr>
      </w:pPr>
    </w:p>
    <w:p>
      <w:pPr>
        <w:pStyle w:val="6"/>
        <w:ind w:left="0" w:leftChars="0" w:firstLine="0" w:firstLineChars="0"/>
        <w:rPr>
          <w:rFonts w:hint="eastAsia"/>
          <w:lang w:val="en-US" w:eastAsia="zh-CN"/>
        </w:rPr>
      </w:pPr>
    </w:p>
    <w:p>
      <w:pPr>
        <w:rPr>
          <w:rFonts w:hint="eastAsia"/>
          <w:lang w:val="en-US" w:eastAsia="zh-CN"/>
        </w:rPr>
      </w:pPr>
    </w:p>
    <w:p>
      <w:pPr>
        <w:pStyle w:val="23"/>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昌江区人民政府办公室</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关于印发《昌江区提升农业产业化发展水平三年行动方案（2023-2025年）》的通知</w:t>
      </w:r>
    </w:p>
    <w:p>
      <w:pPr>
        <w:pStyle w:val="3"/>
        <w:ind w:left="0" w:leftChars="0" w:firstLine="0" w:firstLineChars="0"/>
        <w:jc w:val="center"/>
        <w:rPr>
          <w:rFonts w:hint="eastAsia" w:asciiTheme="majorEastAsia" w:hAnsiTheme="majorEastAsia" w:eastAsiaTheme="majorEastAsia" w:cstheme="majorEastAsia"/>
          <w:b/>
          <w:bCs/>
          <w:color w:val="auto"/>
          <w:sz w:val="44"/>
          <w:szCs w:val="44"/>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各乡（镇）人民政府、街道办事处，</w:t>
      </w:r>
      <w:r>
        <w:rPr>
          <w:rFonts w:hint="eastAsia" w:ascii="仿宋" w:hAnsi="仿宋" w:eastAsia="仿宋" w:cs="仿宋_GB2312"/>
          <w:color w:val="auto"/>
          <w:sz w:val="32"/>
          <w:szCs w:val="32"/>
        </w:rPr>
        <w:t>区</w:t>
      </w:r>
      <w:r>
        <w:rPr>
          <w:rFonts w:hint="eastAsia" w:ascii="仿宋" w:hAnsi="仿宋" w:eastAsia="仿宋" w:cs="仿宋_GB2312"/>
          <w:color w:val="auto"/>
          <w:sz w:val="32"/>
          <w:szCs w:val="32"/>
          <w:lang w:val="en-US" w:eastAsia="zh-CN"/>
        </w:rPr>
        <w:t>直有关单位：</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Style w:val="22"/>
          <w:rFonts w:hint="eastAsia" w:ascii="仿宋" w:hAnsi="仿宋" w:eastAsia="仿宋" w:cs="仿宋_GB2312"/>
          <w:color w:val="auto"/>
          <w:sz w:val="32"/>
          <w:szCs w:val="32"/>
          <w:u w:val="none"/>
          <w:lang w:val="en-US" w:eastAsia="zh-CN"/>
        </w:rPr>
      </w:pPr>
      <w:r>
        <w:rPr>
          <w:rStyle w:val="22"/>
          <w:rFonts w:hint="eastAsia" w:ascii="仿宋" w:hAnsi="仿宋" w:eastAsia="仿宋" w:cs="仿宋_GB2312"/>
          <w:color w:val="auto"/>
          <w:sz w:val="32"/>
          <w:szCs w:val="32"/>
          <w:u w:val="none"/>
        </w:rPr>
        <w:t>《昌江区提升农业产业化发展水平三年行动方</w:t>
      </w:r>
      <w:r>
        <w:rPr>
          <w:rStyle w:val="22"/>
          <w:rFonts w:hint="eastAsia" w:ascii="仿宋" w:hAnsi="仿宋" w:eastAsia="仿宋" w:cs="仿宋_GB2312"/>
          <w:color w:val="auto"/>
          <w:sz w:val="32"/>
          <w:szCs w:val="32"/>
          <w:u w:val="none"/>
          <w:lang w:val="en-US" w:eastAsia="zh-CN"/>
        </w:rPr>
        <w:t>案（</w:t>
      </w:r>
      <w:r>
        <w:rPr>
          <w:rStyle w:val="22"/>
          <w:rFonts w:hint="eastAsia" w:ascii="仿宋" w:hAnsi="仿宋" w:eastAsia="仿宋" w:cs="仿宋_GB2312"/>
          <w:color w:val="auto"/>
          <w:sz w:val="32"/>
          <w:szCs w:val="32"/>
          <w:u w:val="none"/>
        </w:rPr>
        <w:t>2023-2025年</w:t>
      </w:r>
      <w:r>
        <w:rPr>
          <w:rStyle w:val="22"/>
          <w:rFonts w:hint="eastAsia" w:ascii="仿宋" w:hAnsi="仿宋" w:eastAsia="仿宋" w:cs="仿宋_GB2312"/>
          <w:color w:val="auto"/>
          <w:sz w:val="32"/>
          <w:szCs w:val="32"/>
          <w:u w:val="none"/>
          <w:lang w:eastAsia="zh-CN"/>
        </w:rPr>
        <w:t>）》</w:t>
      </w:r>
      <w:r>
        <w:rPr>
          <w:rStyle w:val="22"/>
          <w:rFonts w:hint="eastAsia" w:ascii="仿宋" w:hAnsi="仿宋" w:eastAsia="仿宋" w:cs="仿宋_GB2312"/>
          <w:color w:val="auto"/>
          <w:sz w:val="32"/>
          <w:szCs w:val="32"/>
          <w:u w:val="none"/>
          <w:lang w:val="en-US" w:eastAsia="zh-CN"/>
        </w:rPr>
        <w:t>已经区政府研究同意，现印发给你们，请结合实际，认真贯彻执行。</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Style w:val="22"/>
          <w:rFonts w:hint="eastAsia" w:ascii="仿宋" w:hAnsi="仿宋" w:eastAsia="仿宋" w:cs="仿宋_GB2312"/>
          <w:color w:val="auto"/>
          <w:sz w:val="32"/>
          <w:szCs w:val="32"/>
          <w:u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Style w:val="22"/>
          <w:rFonts w:hint="eastAsia" w:ascii="仿宋" w:hAnsi="仿宋" w:eastAsia="仿宋" w:cs="仿宋_GB2312"/>
          <w:color w:val="auto"/>
          <w:sz w:val="32"/>
          <w:szCs w:val="32"/>
          <w:u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5120" w:firstLineChars="1600"/>
        <w:jc w:val="left"/>
        <w:textAlignment w:val="auto"/>
        <w:rPr>
          <w:rStyle w:val="22"/>
          <w:rFonts w:hint="eastAsia" w:ascii="仿宋" w:hAnsi="仿宋" w:eastAsia="仿宋" w:cs="仿宋_GB2312"/>
          <w:color w:val="auto"/>
          <w:sz w:val="32"/>
          <w:szCs w:val="32"/>
          <w:u w:val="none"/>
          <w:lang w:val="en-US" w:eastAsia="zh-CN"/>
        </w:rPr>
      </w:pPr>
      <w:r>
        <w:rPr>
          <w:rStyle w:val="22"/>
          <w:rFonts w:hint="eastAsia" w:ascii="仿宋" w:hAnsi="仿宋" w:eastAsia="仿宋" w:cs="仿宋_GB2312"/>
          <w:color w:val="auto"/>
          <w:sz w:val="32"/>
          <w:szCs w:val="32"/>
          <w:u w:val="none"/>
          <w:lang w:val="en-US" w:eastAsia="zh-CN"/>
        </w:rPr>
        <w:t>昌江区人民政府办公室</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jc w:val="left"/>
        <w:textAlignment w:val="auto"/>
        <w:rPr>
          <w:rStyle w:val="22"/>
          <w:rFonts w:hint="default" w:ascii="仿宋" w:hAnsi="仿宋" w:eastAsia="仿宋" w:cs="仿宋_GB2312"/>
          <w:color w:val="auto"/>
          <w:sz w:val="32"/>
          <w:szCs w:val="32"/>
          <w:u w:val="none"/>
          <w:lang w:val="en-US" w:eastAsia="zh-CN"/>
        </w:rPr>
        <w:sectPr>
          <w:footerReference r:id="rId18" w:type="default"/>
          <w:pgSz w:w="11906" w:h="16838"/>
          <w:pgMar w:top="1531" w:right="1684" w:bottom="1531" w:left="1684" w:header="851" w:footer="992" w:gutter="0"/>
          <w:pgNumType w:fmt="decimal" w:start="1"/>
          <w:cols w:space="720" w:num="1"/>
          <w:docGrid w:type="linesAndChars" w:linePitch="319" w:charSpace="0"/>
        </w:sectPr>
      </w:pPr>
      <w:r>
        <w:rPr>
          <w:rStyle w:val="22"/>
          <w:rFonts w:hint="eastAsia" w:ascii="仿宋" w:hAnsi="仿宋" w:eastAsia="仿宋" w:cs="仿宋_GB2312"/>
          <w:color w:val="auto"/>
          <w:sz w:val="32"/>
          <w:szCs w:val="32"/>
          <w:u w:val="none"/>
          <w:lang w:val="en-US" w:eastAsia="zh-CN"/>
        </w:rPr>
        <w:t>2023年6月29日</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昌江区提升农业产业化发展水平三年行动方案（2023-2025年）</w:t>
      </w:r>
    </w:p>
    <w:p>
      <w:pPr>
        <w:snapToGrid w:val="0"/>
        <w:spacing w:line="600" w:lineRule="exact"/>
        <w:ind w:firstLine="640" w:firstLineChars="200"/>
        <w:textAlignment w:val="baseline"/>
        <w:rPr>
          <w:rFonts w:hint="eastAsia" w:ascii="仿宋" w:hAnsi="仿宋" w:eastAsia="仿宋" w:cs="仿宋_GB2312"/>
          <w:color w:val="auto"/>
          <w:sz w:val="32"/>
          <w:szCs w:val="32"/>
          <w:highlight w:val="none"/>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baseline"/>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为深入贯彻落实习近平总书记关于“三农”工作重要论述和</w:t>
      </w:r>
    </w:p>
    <w:p>
      <w:pPr>
        <w:keepNext w:val="0"/>
        <w:keepLines w:val="0"/>
        <w:pageBreakBefore w:val="0"/>
        <w:kinsoku/>
        <w:wordWrap/>
        <w:overflowPunct/>
        <w:topLinePunct w:val="0"/>
        <w:autoSpaceDE/>
        <w:autoSpaceDN/>
        <w:bidi w:val="0"/>
        <w:adjustRightInd/>
        <w:snapToGrid w:val="0"/>
        <w:spacing w:line="600" w:lineRule="exact"/>
        <w:textAlignment w:val="baseline"/>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视察江西重要讲话精神，推动农业产业化水平提档升级，提高农业质量效益和竞争力，促进乡村产业振兴。根据《江西省农业七大产业高质量发展三年行动方案（2023-2025年）》和《景德镇市农业产业发展提升三年行动方案（2023-2025年）（征求意见稿）》要求，结合我区实际，制定本行动方案。</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baseline"/>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一、指导思想</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baseline"/>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坚持以习近平新时代中国特色社会主义思想为指导，深入贯彻党的二十大精神，全面落实习近平总书记关于“三农”工作重要论述和视察江西重要讲话精神，深入贯彻落实上级各项决策部署。立足新发展阶段，贯彻新发展理念，融入新发展格局，落实高质量发展要求。坚持以政府为引导，以市场来运作，以龙头来带动，以一二三产业融合发展为路径，以高质量发展为主题，全链发展、生态优先。聚焦农业增效、农民增收两大目标，进一步优化农业产业空间布局，构建以果蔬种植、畜禽养殖、中药材产业为特色的产业体系。推动农业产业向特色化、绿色化、品牌化、集群化发展。不断提升品牌竞争力和影响力，促进乡村产业高质量发展。</w:t>
      </w:r>
    </w:p>
    <w:p>
      <w:pPr>
        <w:pStyle w:val="2"/>
        <w:rPr>
          <w:lang w:val="zh-CN"/>
        </w:rPr>
      </w:pPr>
    </w:p>
    <w:p>
      <w:pPr>
        <w:keepNext w:val="0"/>
        <w:keepLines w:val="0"/>
        <w:pageBreakBefore w:val="0"/>
        <w:numPr>
          <w:ilvl w:val="0"/>
          <w:numId w:val="1"/>
        </w:numPr>
        <w:kinsoku/>
        <w:wordWrap/>
        <w:overflowPunct/>
        <w:topLinePunct w:val="0"/>
        <w:autoSpaceDE/>
        <w:autoSpaceDN/>
        <w:bidi w:val="0"/>
        <w:adjustRightInd/>
        <w:snapToGrid w:val="0"/>
        <w:spacing w:line="600" w:lineRule="exact"/>
        <w:ind w:firstLine="640" w:firstLineChars="200"/>
        <w:textAlignment w:val="baseline"/>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行动目标</w:t>
      </w:r>
    </w:p>
    <w:p>
      <w:pPr>
        <w:pStyle w:val="12"/>
        <w:keepNext w:val="0"/>
        <w:keepLines w:val="0"/>
        <w:pageBreakBefore w:val="0"/>
        <w:kinsoku/>
        <w:wordWrap/>
        <w:overflowPunct/>
        <w:topLinePunct w:val="0"/>
        <w:autoSpaceDE/>
        <w:autoSpaceDN/>
        <w:bidi w:val="0"/>
        <w:adjustRightInd/>
        <w:spacing w:line="600" w:lineRule="exact"/>
        <w:ind w:left="0" w:leftChars="0"/>
        <w:rPr>
          <w:rFonts w:ascii="仿宋" w:hAnsi="仿宋" w:eastAsia="仿宋" w:cs="仿宋_GB2312"/>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s="仿宋_GB2312"/>
          <w:color w:val="auto"/>
          <w:sz w:val="32"/>
          <w:szCs w:val="32"/>
          <w:highlight w:val="none"/>
        </w:rPr>
        <w:t>通过三年集中行动，实现全区农业产业工作“一年打基础、两年见成效、三年大提升”。</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楷体"/>
          <w:b/>
          <w:bCs/>
          <w:color w:val="auto"/>
          <w:sz w:val="32"/>
          <w:szCs w:val="32"/>
          <w:highlight w:val="none"/>
          <w:lang w:val="zh-CN"/>
        </w:rPr>
        <w:t>——果蔬产业。</w:t>
      </w:r>
      <w:r>
        <w:rPr>
          <w:rFonts w:hint="eastAsia" w:ascii="仿宋" w:hAnsi="仿宋" w:eastAsia="仿宋" w:cs="仿宋_GB2312"/>
          <w:color w:val="auto"/>
          <w:sz w:val="32"/>
          <w:szCs w:val="32"/>
          <w:highlight w:val="none"/>
        </w:rPr>
        <w:t>实施菜蓝子工程,保护万亩蔬菜基地,提高蔬菜复种指数引进良种良法,确保“三年行动方案”实施期间每年蔬菜播种面稳定在1.5万亩,其中绿色精品蔬菜1万亩,总产每年增长2%,2025年达12万吨。并新建0.5万亩高标准连栋蔬菜大棚。</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zh-CN"/>
        </w:rPr>
        <w:t>重点围绕富硒蔬菜产业集群化发展，提升传统产区，培植新兴产区，挖掘潜力产区，持续推进蔬菜产业振兴计划。</w:t>
      </w:r>
      <w:r>
        <w:rPr>
          <w:rFonts w:hint="eastAsia" w:ascii="仿宋" w:hAnsi="仿宋" w:eastAsia="仿宋" w:cs="仿宋"/>
          <w:sz w:val="32"/>
          <w:szCs w:val="32"/>
          <w:highlight w:val="none"/>
          <w:lang w:val="en-US" w:eastAsia="zh-CN"/>
        </w:rPr>
        <w:t>紧抓与中国农科院西部中心合作契机，充分利用其良种优势，技术人才优势，大力发展水果型蔬菜，提升亩产产值。形成特色品牌。</w:t>
      </w:r>
      <w:r>
        <w:rPr>
          <w:rFonts w:hint="eastAsia" w:ascii="仿宋" w:hAnsi="仿宋" w:eastAsia="仿宋" w:cs="仿宋_GB2312"/>
          <w:color w:val="auto"/>
          <w:sz w:val="32"/>
          <w:szCs w:val="32"/>
          <w:highlight w:val="none"/>
          <w:lang w:val="zh-CN"/>
        </w:rPr>
        <w:t>加快果蔬菜适销品种培育、复壮和引进，</w:t>
      </w:r>
      <w:r>
        <w:rPr>
          <w:rFonts w:hint="eastAsia" w:ascii="仿宋" w:hAnsi="仿宋" w:eastAsia="仿宋" w:cs="仿宋_GB2312"/>
          <w:color w:val="auto"/>
          <w:sz w:val="32"/>
          <w:szCs w:val="32"/>
          <w:highlight w:val="none"/>
        </w:rPr>
        <w:t>拓展果蔬深度加工，</w:t>
      </w:r>
      <w:r>
        <w:rPr>
          <w:rFonts w:hint="eastAsia" w:ascii="仿宋" w:hAnsi="仿宋" w:eastAsia="仿宋" w:cs="仿宋_GB2312"/>
          <w:color w:val="auto"/>
          <w:sz w:val="32"/>
          <w:szCs w:val="32"/>
          <w:highlight w:val="none"/>
          <w:lang w:val="zh-CN"/>
        </w:rPr>
        <w:t>培育产业发展新动能，创建一批果蔬品牌，</w:t>
      </w:r>
      <w:r>
        <w:rPr>
          <w:rFonts w:hint="eastAsia" w:ascii="仿宋" w:hAnsi="仿宋" w:eastAsia="仿宋" w:cs="仿宋_GB2312"/>
          <w:color w:val="auto"/>
          <w:sz w:val="32"/>
          <w:szCs w:val="32"/>
          <w:highlight w:val="none"/>
        </w:rPr>
        <w:t>打造一批果蔬产加销一体化企业</w:t>
      </w:r>
      <w:r>
        <w:rPr>
          <w:rFonts w:hint="eastAsia" w:ascii="仿宋" w:hAnsi="仿宋" w:eastAsia="仿宋" w:cs="仿宋_GB2312"/>
          <w:color w:val="auto"/>
          <w:sz w:val="32"/>
          <w:szCs w:val="32"/>
          <w:highlight w:val="none"/>
          <w:lang w:val="zh-CN"/>
        </w:rPr>
        <w:t>。</w:t>
      </w:r>
      <w:r>
        <w:rPr>
          <w:rFonts w:hint="eastAsia" w:ascii="仿宋" w:hAnsi="仿宋" w:eastAsia="仿宋" w:cs="仿宋_GB2312"/>
          <w:color w:val="auto"/>
          <w:sz w:val="32"/>
          <w:szCs w:val="32"/>
          <w:highlight w:val="none"/>
        </w:rPr>
        <w:t>力争到2025年三年综合产值突破3亿元，培育</w:t>
      </w:r>
      <w:r>
        <w:rPr>
          <w:rFonts w:hint="eastAsia" w:ascii="仿宋" w:hAnsi="仿宋" w:eastAsia="仿宋" w:cs="仿宋_GB2312"/>
          <w:color w:val="auto"/>
          <w:kern w:val="0"/>
          <w:sz w:val="32"/>
          <w:szCs w:val="32"/>
          <w:highlight w:val="none"/>
        </w:rPr>
        <w:t>超亿元龙头企业1家</w:t>
      </w:r>
      <w:r>
        <w:rPr>
          <w:rFonts w:hint="eastAsia" w:ascii="仿宋" w:hAnsi="仿宋" w:eastAsia="仿宋" w:cs="仿宋_GB2312"/>
          <w:color w:val="auto"/>
          <w:sz w:val="32"/>
          <w:szCs w:val="32"/>
          <w:highlight w:val="none"/>
        </w:rPr>
        <w:t>。</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楷体"/>
          <w:b/>
          <w:bCs/>
          <w:color w:val="auto"/>
          <w:sz w:val="32"/>
          <w:szCs w:val="32"/>
          <w:highlight w:val="none"/>
          <w:lang w:val="zh-CN"/>
        </w:rPr>
        <w:t>——畜牧产业。</w:t>
      </w:r>
      <w:r>
        <w:rPr>
          <w:rFonts w:hint="eastAsia" w:ascii="仿宋" w:hAnsi="仿宋" w:eastAsia="仿宋" w:cs="仿宋_GB2312"/>
          <w:color w:val="auto"/>
          <w:sz w:val="32"/>
          <w:szCs w:val="32"/>
          <w:highlight w:val="none"/>
        </w:rPr>
        <w:t>按照强生猪、扩牛羊、兴家禽路径。做强生猪规模化养殖，到2025年全区畜禽规模养殖比重在现有基础上再提高8个百分点,其中标准化规模养殖比重占规模养殖场的70%,标准化规模养殖场的排泄物全部实现达标排放和资源化利用。扩大牛羊养殖，建设1个高标准养殖场,到2025年增加养殖大户5家,到2025年。肉牛年出栏达到0.5万头、年末存栏能繁母牛达到0.5万头。发展家禽养殖。全面提升绿色养殖水平，促进农牧循环发展，提升畜禽屠宰加工业，打造家禽产品知名品牌。蛋鸡产业将以“稳供给、创绿色、保安全、增效益”为原则,推动全区产业链一体化发展。到2025年禽蛋产量达70万个标准箱,年增长率达到5%。力争到2025年畜牧产业三年综合产值突破10亿元，培育超亿元龙头企业1家。</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楷体"/>
          <w:b/>
          <w:bCs/>
          <w:color w:val="auto"/>
          <w:sz w:val="32"/>
          <w:szCs w:val="32"/>
          <w:highlight w:val="none"/>
          <w:lang w:val="zh-CN"/>
        </w:rPr>
        <w:t>——中药材产业。</w:t>
      </w:r>
      <w:r>
        <w:rPr>
          <w:rFonts w:hint="eastAsia" w:ascii="仿宋" w:hAnsi="仿宋" w:eastAsia="仿宋" w:cs="仿宋_GB2312"/>
          <w:color w:val="auto"/>
          <w:sz w:val="32"/>
          <w:szCs w:val="32"/>
          <w:highlight w:val="none"/>
          <w:lang w:val="zh-CN"/>
        </w:rPr>
        <w:t>以组织化、专业化为重点，支持区内外制药、饮片和流通企业发展订单、合作基地，带动中药材种植、采收、加工、储运等全过程标准化。</w:t>
      </w:r>
      <w:r>
        <w:rPr>
          <w:rFonts w:hint="eastAsia" w:ascii="仿宋" w:hAnsi="仿宋" w:eastAsia="仿宋" w:cs="仿宋_GB2312"/>
          <w:color w:val="auto"/>
          <w:sz w:val="32"/>
          <w:szCs w:val="32"/>
          <w:highlight w:val="none"/>
        </w:rPr>
        <w:t>加大道地中药材和药食同源中药材基地建设及中药饮片加工开发力度，构建特色中药材种植产业集群。推行中药材订单生产，建设规范化、标准化种植基地，培育中药材大品牌。</w:t>
      </w:r>
      <w:r>
        <w:rPr>
          <w:rFonts w:hint="eastAsia" w:ascii="仿宋" w:hAnsi="仿宋" w:eastAsia="仿宋" w:cs="仿宋_GB2312"/>
          <w:color w:val="auto"/>
          <w:kern w:val="0"/>
          <w:sz w:val="32"/>
          <w:szCs w:val="32"/>
          <w:highlight w:val="none"/>
        </w:rPr>
        <w:t>力争</w:t>
      </w:r>
      <w:r>
        <w:rPr>
          <w:rFonts w:hint="eastAsia" w:ascii="仿宋" w:hAnsi="仿宋" w:eastAsia="仿宋" w:cs="仿宋_GB2312"/>
          <w:color w:val="auto"/>
          <w:sz w:val="32"/>
          <w:szCs w:val="32"/>
          <w:highlight w:val="none"/>
        </w:rPr>
        <w:t>到2025年</w:t>
      </w:r>
      <w:r>
        <w:rPr>
          <w:rFonts w:hint="eastAsia" w:ascii="仿宋" w:hAnsi="仿宋" w:eastAsia="仿宋" w:cs="仿宋_GB2312"/>
          <w:color w:val="auto"/>
          <w:kern w:val="0"/>
          <w:sz w:val="32"/>
          <w:szCs w:val="32"/>
          <w:highlight w:val="none"/>
        </w:rPr>
        <w:t>三年综合产值突破2000万元</w:t>
      </w:r>
      <w:r>
        <w:rPr>
          <w:rFonts w:hint="eastAsia" w:ascii="仿宋" w:hAnsi="仿宋" w:eastAsia="仿宋" w:cs="仿宋_GB2312"/>
          <w:color w:val="auto"/>
          <w:sz w:val="32"/>
          <w:szCs w:val="32"/>
          <w:highlight w:val="none"/>
        </w:rPr>
        <w:t>，培育</w:t>
      </w:r>
      <w:r>
        <w:rPr>
          <w:rFonts w:hint="eastAsia" w:ascii="仿宋" w:hAnsi="仿宋" w:eastAsia="仿宋" w:cs="仿宋_GB2312"/>
          <w:color w:val="auto"/>
          <w:kern w:val="0"/>
          <w:sz w:val="32"/>
          <w:szCs w:val="32"/>
          <w:highlight w:val="none"/>
        </w:rPr>
        <w:t>超亿元龙头企业1家。</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三、重点任务</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
          <w:b/>
          <w:bCs/>
          <w:color w:val="auto"/>
          <w:sz w:val="32"/>
          <w:szCs w:val="32"/>
          <w:highlight w:val="none"/>
          <w:lang w:val="en-US" w:eastAsia="zh-CN"/>
        </w:rPr>
      </w:pPr>
      <w:r>
        <w:rPr>
          <w:rFonts w:hint="eastAsia" w:ascii="楷体" w:hAnsi="楷体" w:eastAsia="楷体" w:cs="楷体"/>
          <w:b/>
          <w:bCs/>
          <w:color w:val="auto"/>
          <w:sz w:val="32"/>
          <w:szCs w:val="32"/>
          <w:highlight w:val="none"/>
          <w:lang w:val="zh-CN"/>
        </w:rPr>
        <w:t>1.产业化育龙头。</w:t>
      </w:r>
      <w:r>
        <w:rPr>
          <w:rFonts w:hint="eastAsia" w:ascii="仿宋" w:hAnsi="仿宋" w:eastAsia="仿宋" w:cs="仿宋"/>
          <w:color w:val="auto"/>
          <w:sz w:val="32"/>
          <w:szCs w:val="32"/>
          <w:highlight w:val="none"/>
        </w:rPr>
        <w:t>加快农业产业化龙头企业梯次发展，培育壮大一批链主型龙头企业，推动国家级、省级、市级龙头企业三级联创，实行动态管理。创建农业产业化市级示范联合体，构建权责明确、利益联结的组织机制。落实绿色食品产业链企业税费优惠等扶持政策，发挥财政产业化项目资金效益，支持一批龙头企业扩规、技改、延链。到2025年，超10亿的农业产业化龙头企业总数达到2家，省级龙头企业数量达到3家以上，市级龙头企业达到23家以上。</w:t>
      </w:r>
      <w:r>
        <w:rPr>
          <w:rFonts w:hint="eastAsia" w:ascii="仿宋" w:hAnsi="仿宋" w:eastAsia="仿宋" w:cs="仿宋"/>
          <w:b/>
          <w:bCs/>
          <w:color w:val="auto"/>
          <w:sz w:val="32"/>
          <w:szCs w:val="32"/>
          <w:highlight w:val="none"/>
          <w:lang w:val="en-US" w:eastAsia="zh-CN"/>
        </w:rPr>
        <w:t>[责任单位：区农业农村水利局、区林业局、区工信局、各街道（乡、镇）（涉及以下各项任务，不再列出）]</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
          <w:b/>
          <w:bCs/>
          <w:color w:val="auto"/>
          <w:sz w:val="32"/>
          <w:szCs w:val="32"/>
          <w:highlight w:val="none"/>
          <w:lang w:val="en-US" w:eastAsia="zh-CN"/>
        </w:rPr>
      </w:pPr>
      <w:r>
        <w:rPr>
          <w:rFonts w:hint="eastAsia" w:ascii="楷体" w:hAnsi="楷体" w:eastAsia="楷体" w:cs="楷体"/>
          <w:b/>
          <w:bCs/>
          <w:color w:val="auto"/>
          <w:sz w:val="32"/>
          <w:szCs w:val="32"/>
          <w:highlight w:val="none"/>
          <w:lang w:val="zh-CN"/>
        </w:rPr>
        <w:t>2.标准化建基地。</w:t>
      </w:r>
      <w:r>
        <w:rPr>
          <w:rFonts w:hint="eastAsia" w:ascii="仿宋" w:hAnsi="仿宋" w:eastAsia="仿宋" w:cs="仿宋_GB2312"/>
          <w:color w:val="auto"/>
          <w:sz w:val="32"/>
          <w:szCs w:val="32"/>
          <w:highlight w:val="none"/>
          <w:lang w:val="zh-CN"/>
        </w:rPr>
        <w:t>以重要农产品生产保护区和特色农产品优势区为重点，稳定畜牧产量，建设</w:t>
      </w:r>
      <w:r>
        <w:rPr>
          <w:rFonts w:hint="eastAsia" w:ascii="仿宋" w:hAnsi="仿宋" w:eastAsia="仿宋" w:cs="仿宋_GB2312"/>
          <w:color w:val="auto"/>
          <w:sz w:val="32"/>
          <w:szCs w:val="32"/>
          <w:highlight w:val="none"/>
        </w:rPr>
        <w:t>标准化规模养殖场，大力发展设施蔬菜产业和道地中药材产业。引导龙头企业按照“公司+基地+农户+市场”的经营方式，发展订单生产。</w:t>
      </w:r>
      <w:r>
        <w:rPr>
          <w:rFonts w:hint="eastAsia" w:ascii="仿宋" w:hAnsi="仿宋" w:eastAsia="仿宋" w:cs="仿宋_GB2312"/>
          <w:color w:val="auto"/>
          <w:sz w:val="32"/>
          <w:szCs w:val="32"/>
          <w:highlight w:val="none"/>
          <w:lang w:val="zh-CN"/>
        </w:rPr>
        <w:t>实施农业生产“三品一标”提升行动，推动我区农业品种培优、品质提升、品牌打造和标准化生产。打造绿色农业产业链，鼓励新型农业生产经营主体按标生产，开展农产品</w:t>
      </w:r>
      <w:r>
        <w:rPr>
          <w:rFonts w:hint="eastAsia" w:ascii="仿宋" w:hAnsi="仿宋" w:eastAsia="仿宋" w:cs="仿宋_GB2312"/>
          <w:color w:val="auto"/>
          <w:sz w:val="32"/>
          <w:szCs w:val="32"/>
          <w:highlight w:val="none"/>
        </w:rPr>
        <w:t>质量</w:t>
      </w:r>
      <w:r>
        <w:rPr>
          <w:rFonts w:hint="eastAsia" w:ascii="仿宋" w:hAnsi="仿宋" w:eastAsia="仿宋" w:cs="仿宋_GB2312"/>
          <w:color w:val="auto"/>
          <w:sz w:val="32"/>
          <w:szCs w:val="32"/>
          <w:highlight w:val="none"/>
          <w:lang w:val="zh-CN"/>
        </w:rPr>
        <w:t>认证。推行绿色生产技术，</w:t>
      </w:r>
      <w:r>
        <w:rPr>
          <w:rFonts w:hint="eastAsia" w:ascii="仿宋" w:hAnsi="仿宋" w:eastAsia="仿宋" w:cs="仿宋_GB2312"/>
          <w:color w:val="auto"/>
          <w:sz w:val="32"/>
          <w:szCs w:val="32"/>
          <w:highlight w:val="none"/>
        </w:rPr>
        <w:t>生态循环模式，创建一批全产业链标准化试点示范区，打造蔬菜、中药材等产业集群。</w:t>
      </w:r>
      <w:r>
        <w:rPr>
          <w:rFonts w:hint="eastAsia" w:ascii="仿宋" w:hAnsi="仿宋" w:eastAsia="仿宋" w:cs="仿宋"/>
          <w:color w:val="auto"/>
          <w:sz w:val="32"/>
          <w:szCs w:val="32"/>
          <w:highlight w:val="none"/>
        </w:rPr>
        <w:t>到2025年，全区</w:t>
      </w:r>
      <w:r>
        <w:rPr>
          <w:rFonts w:hint="eastAsia" w:ascii="仿宋" w:hAnsi="仿宋" w:eastAsia="仿宋" w:cs="仿宋_GB2312"/>
          <w:color w:val="auto"/>
          <w:sz w:val="32"/>
          <w:szCs w:val="32"/>
          <w:highlight w:val="none"/>
          <w:lang w:val="zh-CN"/>
        </w:rPr>
        <w:t>绿色食品、有机农产品和地理标志</w:t>
      </w:r>
      <w:r>
        <w:rPr>
          <w:rFonts w:hint="eastAsia" w:ascii="仿宋" w:hAnsi="仿宋" w:eastAsia="仿宋" w:cs="仿宋"/>
          <w:color w:val="auto"/>
          <w:sz w:val="32"/>
          <w:szCs w:val="32"/>
          <w:highlight w:val="none"/>
        </w:rPr>
        <w:t>农产品数量达到27个。</w:t>
      </w:r>
      <w:r>
        <w:rPr>
          <w:rFonts w:hint="eastAsia" w:ascii="仿宋" w:hAnsi="仿宋" w:eastAsia="仿宋" w:cs="仿宋"/>
          <w:b/>
          <w:bCs/>
          <w:color w:val="auto"/>
          <w:sz w:val="32"/>
          <w:szCs w:val="32"/>
          <w:highlight w:val="none"/>
          <w:lang w:val="en-US" w:eastAsia="zh-CN"/>
        </w:rPr>
        <w:t>[责任单位：区农业农村水利局、区市场监管局、区林业局、区科技局]</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_GB2312"/>
          <w:b/>
          <w:bCs/>
          <w:color w:val="auto"/>
          <w:sz w:val="32"/>
          <w:szCs w:val="32"/>
          <w:highlight w:val="none"/>
          <w:lang w:val="en-US" w:eastAsia="zh-CN"/>
        </w:rPr>
      </w:pPr>
      <w:r>
        <w:rPr>
          <w:rFonts w:hint="eastAsia" w:ascii="楷体" w:hAnsi="楷体" w:eastAsia="楷体" w:cs="楷体"/>
          <w:b/>
          <w:bCs/>
          <w:color w:val="auto"/>
          <w:sz w:val="32"/>
          <w:szCs w:val="32"/>
          <w:highlight w:val="none"/>
          <w:lang w:val="zh-CN"/>
        </w:rPr>
        <w:t>3.多样化促加工。</w:t>
      </w:r>
      <w:r>
        <w:rPr>
          <w:rFonts w:hint="eastAsia" w:ascii="仿宋" w:hAnsi="仿宋" w:eastAsia="仿宋" w:cs="仿宋_GB2312"/>
          <w:color w:val="auto"/>
          <w:sz w:val="32"/>
          <w:szCs w:val="32"/>
          <w:highlight w:val="none"/>
          <w:lang w:val="zh-CN"/>
        </w:rPr>
        <w:t>以龙头企业为引领，促进农产品初加工、精深加工和综合利用加工全面发展。</w:t>
      </w:r>
      <w:r>
        <w:rPr>
          <w:rFonts w:hint="eastAsia" w:ascii="仿宋" w:hAnsi="仿宋" w:eastAsia="仿宋" w:cs="仿宋"/>
          <w:color w:val="auto"/>
          <w:sz w:val="32"/>
          <w:szCs w:val="32"/>
          <w:highlight w:val="none"/>
        </w:rPr>
        <w:t>大力发展预制菜、中药饮片、富硒产品、绿色食品等开发类别多样、营养健康、方便快捷的系列化加工产品。鼓励企业科技创新，提升加工装备水平，加快生产经营智能化改造，转化科技成果开发多元新产品。</w:t>
      </w:r>
      <w:r>
        <w:rPr>
          <w:rFonts w:hint="eastAsia" w:ascii="仿宋" w:hAnsi="仿宋" w:eastAsia="仿宋" w:cs="仿宋_GB2312"/>
          <w:color w:val="auto"/>
          <w:sz w:val="32"/>
          <w:szCs w:val="32"/>
          <w:highlight w:val="none"/>
          <w:lang w:val="zh-CN"/>
        </w:rPr>
        <w:t>鼓励企业与高校科研院所对接合作，</w:t>
      </w:r>
      <w:r>
        <w:rPr>
          <w:rFonts w:hint="eastAsia" w:ascii="仿宋" w:hAnsi="仿宋" w:eastAsia="仿宋" w:cs="仿宋_GB2312"/>
          <w:color w:val="auto"/>
          <w:sz w:val="32"/>
          <w:szCs w:val="32"/>
          <w:highlight w:val="none"/>
        </w:rPr>
        <w:t>围绕生物种业、智能农机装备、数字农业等领域，加大关键技术攻关协同推广</w:t>
      </w:r>
      <w:r>
        <w:rPr>
          <w:rFonts w:hint="eastAsia" w:ascii="仿宋" w:hAnsi="仿宋" w:eastAsia="仿宋" w:cs="仿宋_GB2312"/>
          <w:color w:val="auto"/>
          <w:sz w:val="32"/>
          <w:szCs w:val="32"/>
          <w:highlight w:val="none"/>
          <w:lang w:val="zh-CN"/>
        </w:rPr>
        <w:t>。到2025</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zh-CN"/>
        </w:rPr>
        <w:t>全市农产品加工业总产值突破</w:t>
      </w:r>
      <w:r>
        <w:rPr>
          <w:rFonts w:hint="eastAsia" w:ascii="仿宋" w:hAnsi="仿宋" w:eastAsia="仿宋" w:cs="仿宋_GB2312"/>
          <w:color w:val="auto"/>
          <w:sz w:val="32"/>
          <w:szCs w:val="32"/>
          <w:highlight w:val="none"/>
        </w:rPr>
        <w:t>45亿元</w:t>
      </w:r>
      <w:r>
        <w:rPr>
          <w:rFonts w:hint="eastAsia" w:ascii="仿宋" w:hAnsi="仿宋" w:eastAsia="仿宋" w:cs="仿宋_GB2312"/>
          <w:color w:val="auto"/>
          <w:sz w:val="32"/>
          <w:szCs w:val="32"/>
          <w:highlight w:val="none"/>
          <w:lang w:val="zh-CN"/>
        </w:rPr>
        <w:t>。</w:t>
      </w:r>
      <w:r>
        <w:rPr>
          <w:rFonts w:hint="eastAsia" w:ascii="仿宋" w:hAnsi="仿宋" w:eastAsia="仿宋" w:cs="仿宋_GB2312"/>
          <w:b/>
          <w:bCs/>
          <w:color w:val="auto"/>
          <w:sz w:val="32"/>
          <w:szCs w:val="32"/>
          <w:highlight w:val="none"/>
          <w:lang w:val="en-US" w:eastAsia="zh-CN"/>
        </w:rPr>
        <w:t>[责任单位：区农业农村水利局、区林业局、区科技局、区工信局、区卫健委]</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_GB2312"/>
          <w:b/>
          <w:bCs/>
          <w:color w:val="auto"/>
          <w:sz w:val="32"/>
          <w:szCs w:val="32"/>
          <w:highlight w:val="none"/>
          <w:lang w:val="en-US" w:eastAsia="zh-CN"/>
        </w:rPr>
      </w:pPr>
      <w:r>
        <w:rPr>
          <w:rFonts w:hint="eastAsia" w:ascii="楷体" w:hAnsi="楷体" w:eastAsia="楷体" w:cs="楷体"/>
          <w:b/>
          <w:bCs/>
          <w:color w:val="auto"/>
          <w:sz w:val="32"/>
          <w:szCs w:val="32"/>
          <w:highlight w:val="none"/>
          <w:lang w:val="zh-CN"/>
        </w:rPr>
        <w:t>4.网格化畅流通。</w:t>
      </w:r>
      <w:r>
        <w:rPr>
          <w:rFonts w:hint="eastAsia" w:ascii="仿宋" w:hAnsi="仿宋" w:eastAsia="仿宋" w:cs="仿宋_GB2312"/>
          <w:color w:val="auto"/>
          <w:sz w:val="32"/>
          <w:szCs w:val="32"/>
          <w:highlight w:val="none"/>
        </w:rPr>
        <w:t>加快农产品流通体系建设，以</w:t>
      </w:r>
      <w:r>
        <w:rPr>
          <w:rFonts w:hint="eastAsia" w:ascii="仿宋" w:hAnsi="仿宋" w:eastAsia="仿宋" w:cs="仿宋_GB2312"/>
          <w:color w:val="auto"/>
          <w:sz w:val="32"/>
          <w:szCs w:val="32"/>
          <w:highlight w:val="none"/>
          <w:lang w:val="zh-CN"/>
        </w:rPr>
        <w:t>生鲜农产品主产区、特色农产品优势区为重点，支持建设一批产地冷藏保鲜设施。依托农产品重要集散地和主销区，推进</w:t>
      </w:r>
      <w:r>
        <w:rPr>
          <w:rFonts w:hint="eastAsia" w:ascii="仿宋" w:hAnsi="仿宋" w:eastAsia="仿宋" w:cs="仿宋_GB2312"/>
          <w:color w:val="auto"/>
          <w:sz w:val="32"/>
          <w:szCs w:val="32"/>
          <w:highlight w:val="none"/>
        </w:rPr>
        <w:t>全区</w:t>
      </w:r>
      <w:r>
        <w:rPr>
          <w:rFonts w:hint="eastAsia" w:ascii="仿宋" w:hAnsi="仿宋" w:eastAsia="仿宋" w:cs="仿宋_GB2312"/>
          <w:color w:val="auto"/>
          <w:sz w:val="32"/>
          <w:szCs w:val="32"/>
          <w:highlight w:val="none"/>
          <w:lang w:val="zh-CN"/>
        </w:rPr>
        <w:t>城乡冷链和物流骨干网建设。推行净菜供应、冷链配送等服务。落实好“绿色通道”政策。到2025年，新建或改建</w:t>
      </w:r>
      <w:r>
        <w:rPr>
          <w:rFonts w:hint="eastAsia" w:ascii="仿宋" w:hAnsi="仿宋" w:eastAsia="仿宋" w:cs="仿宋_GB2312"/>
          <w:color w:val="auto"/>
          <w:sz w:val="32"/>
          <w:szCs w:val="32"/>
          <w:highlight w:val="none"/>
        </w:rPr>
        <w:t>10</w:t>
      </w:r>
      <w:r>
        <w:rPr>
          <w:rFonts w:hint="eastAsia" w:ascii="仿宋" w:hAnsi="仿宋" w:eastAsia="仿宋" w:cs="仿宋_GB2312"/>
          <w:color w:val="auto"/>
          <w:sz w:val="32"/>
          <w:szCs w:val="32"/>
          <w:highlight w:val="none"/>
          <w:lang w:val="zh-CN"/>
        </w:rPr>
        <w:t>个左右农产品产地冷藏保鲜设施。</w:t>
      </w:r>
      <w:r>
        <w:rPr>
          <w:rFonts w:hint="eastAsia" w:ascii="仿宋" w:hAnsi="仿宋" w:eastAsia="仿宋" w:cs="仿宋_GB2312"/>
          <w:b/>
          <w:bCs/>
          <w:color w:val="auto"/>
          <w:sz w:val="32"/>
          <w:szCs w:val="32"/>
          <w:highlight w:val="none"/>
          <w:lang w:val="en-US" w:eastAsia="zh-CN"/>
        </w:rPr>
        <w:t>[责任单位：区农业农村水利局、区发改委、区商务局、区交通运输局]</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_GB2312"/>
          <w:b/>
          <w:bCs/>
          <w:color w:val="auto"/>
          <w:sz w:val="32"/>
          <w:szCs w:val="32"/>
          <w:highlight w:val="none"/>
          <w:lang w:val="en-US" w:eastAsia="zh-CN"/>
        </w:rPr>
      </w:pPr>
      <w:r>
        <w:rPr>
          <w:rFonts w:hint="eastAsia" w:ascii="楷体" w:hAnsi="楷体" w:eastAsia="楷体" w:cs="楷体"/>
          <w:b/>
          <w:bCs/>
          <w:color w:val="auto"/>
          <w:sz w:val="32"/>
          <w:szCs w:val="32"/>
          <w:highlight w:val="none"/>
          <w:lang w:val="zh-CN"/>
        </w:rPr>
        <w:t>5.融合化延伸链。</w:t>
      </w:r>
      <w:r>
        <w:rPr>
          <w:rFonts w:hint="eastAsia" w:ascii="仿宋" w:hAnsi="仿宋" w:eastAsia="仿宋" w:cs="仿宋_GB2312"/>
          <w:color w:val="auto"/>
          <w:sz w:val="32"/>
          <w:szCs w:val="32"/>
          <w:highlight w:val="none"/>
        </w:rPr>
        <w:t>持续推进现代农业产业链发展，构建“</w:t>
      </w:r>
      <w:r>
        <w:rPr>
          <w:rFonts w:hint="eastAsia" w:ascii="仿宋" w:hAnsi="仿宋" w:eastAsia="仿宋" w:cs="仿宋_GB2312"/>
          <w:color w:val="auto"/>
          <w:sz w:val="32"/>
          <w:szCs w:val="32"/>
          <w:highlight w:val="none"/>
          <w:lang w:val="zh-CN"/>
        </w:rPr>
        <w:t>一县一园、一镇一业、一村一品”的产业体系，打造富有特色、带动力强的特色产业集聚区。全力推进农机服务体系转型升级，实施农机装备能力提升，补齐水稻机械化种植短板。到</w:t>
      </w:r>
      <w:r>
        <w:rPr>
          <w:rFonts w:hint="eastAsia" w:ascii="仿宋" w:hAnsi="仿宋" w:eastAsia="仿宋" w:cs="仿宋_GB2312"/>
          <w:color w:val="auto"/>
          <w:sz w:val="32"/>
          <w:szCs w:val="32"/>
          <w:highlight w:val="none"/>
        </w:rPr>
        <w:t>2025年，建设一批全程机械化+综合农事服务中心，推进水稻机械化育秧中心建设，水稻机械化种植率达到44%以上。</w:t>
      </w:r>
      <w:r>
        <w:rPr>
          <w:rFonts w:hint="eastAsia" w:ascii="仿宋" w:hAnsi="仿宋" w:eastAsia="仿宋" w:cs="仿宋_GB2312"/>
          <w:b/>
          <w:bCs/>
          <w:color w:val="auto"/>
          <w:sz w:val="32"/>
          <w:szCs w:val="32"/>
          <w:highlight w:val="none"/>
          <w:lang w:val="en-US" w:eastAsia="zh-CN"/>
        </w:rPr>
        <w:t>[责任部门：区农业农村水利局、区林业局]</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default" w:ascii="仿宋" w:hAnsi="仿宋" w:eastAsia="仿宋" w:cs="仿宋_GB2312"/>
          <w:b/>
          <w:bCs/>
          <w:color w:val="auto"/>
          <w:sz w:val="32"/>
          <w:szCs w:val="32"/>
          <w:highlight w:val="none"/>
          <w:lang w:val="en-US"/>
        </w:rPr>
      </w:pPr>
      <w:r>
        <w:rPr>
          <w:rFonts w:hint="eastAsia" w:ascii="楷体" w:hAnsi="楷体" w:eastAsia="楷体" w:cs="楷体"/>
          <w:b/>
          <w:bCs/>
          <w:color w:val="auto"/>
          <w:sz w:val="32"/>
          <w:szCs w:val="32"/>
          <w:highlight w:val="none"/>
          <w:lang w:val="zh-CN"/>
        </w:rPr>
        <w:t>6.多渠道促合作。</w:t>
      </w:r>
      <w:r>
        <w:rPr>
          <w:rFonts w:hint="eastAsia" w:ascii="仿宋" w:hAnsi="仿宋" w:eastAsia="仿宋" w:cs="仿宋_GB2312"/>
          <w:color w:val="auto"/>
          <w:sz w:val="32"/>
          <w:szCs w:val="32"/>
          <w:highlight w:val="none"/>
        </w:rPr>
        <w:t>加大绿色食品产业链农业招商引资力度，</w:t>
      </w:r>
      <w:r>
        <w:rPr>
          <w:rFonts w:hint="eastAsia" w:ascii="仿宋" w:hAnsi="仿宋" w:eastAsia="仿宋" w:cs="仿宋_GB2312"/>
          <w:color w:val="auto"/>
          <w:sz w:val="32"/>
          <w:szCs w:val="32"/>
          <w:highlight w:val="none"/>
          <w:lang w:val="zh-CN"/>
        </w:rPr>
        <w:t>聚焦</w:t>
      </w:r>
      <w:r>
        <w:rPr>
          <w:rFonts w:hint="eastAsia" w:ascii="仿宋" w:hAnsi="仿宋" w:eastAsia="仿宋" w:cs="仿宋_GB2312"/>
          <w:color w:val="auto"/>
          <w:sz w:val="32"/>
          <w:szCs w:val="32"/>
          <w:highlight w:val="none"/>
        </w:rPr>
        <w:t>粤港澳大湾区</w:t>
      </w:r>
      <w:r>
        <w:rPr>
          <w:rFonts w:hint="eastAsia" w:ascii="仿宋" w:hAnsi="仿宋" w:eastAsia="仿宋" w:cs="仿宋_GB2312"/>
          <w:color w:val="auto"/>
          <w:sz w:val="32"/>
          <w:szCs w:val="32"/>
          <w:highlight w:val="none"/>
          <w:lang w:val="zh-CN"/>
        </w:rPr>
        <w:t>、京津冀、长三角、</w:t>
      </w:r>
      <w:r>
        <w:rPr>
          <w:rFonts w:hint="eastAsia" w:ascii="仿宋" w:hAnsi="仿宋" w:eastAsia="仿宋" w:cs="仿宋_GB2312"/>
          <w:color w:val="auto"/>
          <w:sz w:val="32"/>
          <w:szCs w:val="32"/>
          <w:highlight w:val="none"/>
        </w:rPr>
        <w:t>海西经济区</w:t>
      </w:r>
      <w:r>
        <w:rPr>
          <w:rFonts w:hint="eastAsia" w:ascii="仿宋" w:hAnsi="仿宋" w:eastAsia="仿宋" w:cs="仿宋_GB2312"/>
          <w:color w:val="auto"/>
          <w:sz w:val="32"/>
          <w:szCs w:val="32"/>
          <w:highlight w:val="none"/>
          <w:lang w:val="zh-CN"/>
        </w:rPr>
        <w:t>等</w:t>
      </w:r>
      <w:r>
        <w:rPr>
          <w:rFonts w:hint="eastAsia" w:ascii="仿宋" w:hAnsi="仿宋" w:eastAsia="仿宋" w:cs="仿宋_GB2312"/>
          <w:color w:val="auto"/>
          <w:sz w:val="32"/>
          <w:szCs w:val="32"/>
          <w:highlight w:val="none"/>
        </w:rPr>
        <w:t>发达地区</w:t>
      </w:r>
      <w:r>
        <w:rPr>
          <w:rFonts w:hint="eastAsia" w:ascii="仿宋" w:hAnsi="仿宋" w:eastAsia="仿宋" w:cs="仿宋_GB2312"/>
          <w:color w:val="auto"/>
          <w:sz w:val="32"/>
          <w:szCs w:val="32"/>
          <w:highlight w:val="none"/>
          <w:lang w:val="zh-CN"/>
        </w:rPr>
        <w:t>，围绕富硒农业等重点产业，积极组织参与各类招商引资活动。谋划储备一批产业链条中发展潜力大、投资效益好的招商项目，多渠道、多形式向投资客商重点宣传推介。到2025年，年度农业农村招商引资实际进资额达到</w:t>
      </w:r>
      <w:r>
        <w:rPr>
          <w:rFonts w:hint="eastAsia" w:ascii="仿宋" w:hAnsi="仿宋" w:eastAsia="仿宋" w:cs="仿宋_GB2312"/>
          <w:color w:val="auto"/>
          <w:sz w:val="32"/>
          <w:szCs w:val="32"/>
          <w:highlight w:val="none"/>
        </w:rPr>
        <w:t>3</w:t>
      </w:r>
      <w:r>
        <w:rPr>
          <w:rFonts w:hint="eastAsia" w:ascii="仿宋" w:hAnsi="仿宋" w:eastAsia="仿宋" w:cs="仿宋_GB2312"/>
          <w:color w:val="auto"/>
          <w:sz w:val="32"/>
          <w:szCs w:val="32"/>
          <w:highlight w:val="none"/>
          <w:lang w:val="zh-CN"/>
        </w:rPr>
        <w:t>亿元以上。</w:t>
      </w:r>
      <w:r>
        <w:rPr>
          <w:rFonts w:hint="eastAsia" w:ascii="仿宋" w:hAnsi="仿宋" w:eastAsia="仿宋" w:cs="仿宋_GB2312"/>
          <w:b/>
          <w:bCs/>
          <w:color w:val="auto"/>
          <w:sz w:val="32"/>
          <w:szCs w:val="32"/>
          <w:highlight w:val="none"/>
          <w:lang w:val="en-US" w:eastAsia="zh-CN"/>
        </w:rPr>
        <w:t>[责任部门：区农业农村水利局、区商务局]</w:t>
      </w:r>
    </w:p>
    <w:p>
      <w:pPr>
        <w:pStyle w:val="13"/>
        <w:keepNext w:val="0"/>
        <w:keepLines w:val="0"/>
        <w:pageBreakBefore w:val="0"/>
        <w:kinsoku/>
        <w:wordWrap/>
        <w:overflowPunct/>
        <w:topLinePunct w:val="0"/>
        <w:autoSpaceDE/>
        <w:autoSpaceDN/>
        <w:bidi w:val="0"/>
        <w:adjustRightInd/>
        <w:snapToGrid w:val="0"/>
        <w:spacing w:after="0" w:line="600" w:lineRule="exact"/>
        <w:ind w:firstLine="683"/>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四、政策支持</w:t>
      </w:r>
    </w:p>
    <w:p>
      <w:pPr>
        <w:pStyle w:val="13"/>
        <w:keepNext w:val="0"/>
        <w:keepLines w:val="0"/>
        <w:pageBreakBefore w:val="0"/>
        <w:kinsoku/>
        <w:wordWrap/>
        <w:overflowPunct/>
        <w:topLinePunct w:val="0"/>
        <w:autoSpaceDE/>
        <w:autoSpaceDN/>
        <w:bidi w:val="0"/>
        <w:adjustRightInd/>
        <w:snapToGrid w:val="0"/>
        <w:spacing w:after="0" w:line="600" w:lineRule="exact"/>
        <w:ind w:firstLine="683"/>
        <w:rPr>
          <w:rFonts w:hint="eastAsia" w:ascii="仿宋" w:hAnsi="仿宋" w:eastAsia="仿宋" w:cs="黑体"/>
          <w:b w:val="0"/>
          <w:bCs w:val="0"/>
          <w:color w:val="auto"/>
          <w:sz w:val="32"/>
          <w:szCs w:val="32"/>
          <w:highlight w:val="none"/>
          <w:lang w:val="en-US" w:eastAsia="zh-CN"/>
        </w:rPr>
      </w:pPr>
      <w:r>
        <w:rPr>
          <w:rFonts w:hint="eastAsia" w:ascii="仿宋" w:hAnsi="仿宋" w:eastAsia="仿宋" w:cs="黑体"/>
          <w:b w:val="0"/>
          <w:bCs w:val="0"/>
          <w:color w:val="auto"/>
          <w:sz w:val="32"/>
          <w:szCs w:val="32"/>
          <w:highlight w:val="none"/>
        </w:rPr>
        <w:t>2023—2025年每年统筹整合</w:t>
      </w:r>
      <w:r>
        <w:rPr>
          <w:rFonts w:hint="eastAsia" w:ascii="仿宋" w:hAnsi="仿宋" w:eastAsia="仿宋" w:cs="黑体"/>
          <w:b w:val="0"/>
          <w:bCs w:val="0"/>
          <w:color w:val="auto"/>
          <w:sz w:val="32"/>
          <w:szCs w:val="32"/>
          <w:highlight w:val="none"/>
          <w:lang w:val="en-US" w:eastAsia="zh-CN"/>
        </w:rPr>
        <w:t>100</w:t>
      </w:r>
      <w:r>
        <w:rPr>
          <w:rFonts w:hint="eastAsia" w:ascii="仿宋" w:hAnsi="仿宋" w:eastAsia="仿宋" w:cs="黑体"/>
          <w:b w:val="0"/>
          <w:bCs w:val="0"/>
          <w:color w:val="auto"/>
          <w:sz w:val="32"/>
          <w:szCs w:val="32"/>
          <w:highlight w:val="none"/>
        </w:rPr>
        <w:t>万元财政资金，用于支持农业</w:t>
      </w:r>
      <w:r>
        <w:rPr>
          <w:rFonts w:hint="eastAsia" w:ascii="仿宋" w:hAnsi="仿宋" w:eastAsia="仿宋" w:cs="黑体"/>
          <w:b w:val="0"/>
          <w:bCs w:val="0"/>
          <w:color w:val="auto"/>
          <w:sz w:val="32"/>
          <w:szCs w:val="32"/>
          <w:highlight w:val="none"/>
          <w:lang w:val="en-US" w:eastAsia="zh-CN"/>
        </w:rPr>
        <w:t>产业发展</w:t>
      </w:r>
      <w:r>
        <w:rPr>
          <w:rFonts w:hint="eastAsia" w:ascii="仿宋" w:hAnsi="仿宋" w:eastAsia="仿宋" w:cs="黑体"/>
          <w:b w:val="0"/>
          <w:bCs w:val="0"/>
          <w:color w:val="auto"/>
          <w:sz w:val="32"/>
          <w:szCs w:val="32"/>
          <w:highlight w:val="none"/>
        </w:rPr>
        <w:t>农产品生产加工、品牌培育及扶持龙头企业等各环节。</w:t>
      </w:r>
    </w:p>
    <w:p>
      <w:pPr>
        <w:pStyle w:val="13"/>
        <w:keepNext w:val="0"/>
        <w:keepLines w:val="0"/>
        <w:pageBreakBefore w:val="0"/>
        <w:kinsoku/>
        <w:wordWrap/>
        <w:overflowPunct/>
        <w:topLinePunct w:val="0"/>
        <w:autoSpaceDE/>
        <w:autoSpaceDN/>
        <w:bidi w:val="0"/>
        <w:adjustRightInd/>
        <w:snapToGrid w:val="0"/>
        <w:spacing w:after="0" w:line="600" w:lineRule="exact"/>
        <w:ind w:firstLine="640" w:firstLineChars="200"/>
        <w:rPr>
          <w:rFonts w:hint="eastAsia" w:ascii="仿宋" w:hAnsi="仿宋" w:eastAsia="仿宋" w:cs="黑体"/>
          <w:b w:val="0"/>
          <w:bCs w:val="0"/>
          <w:color w:val="auto"/>
          <w:sz w:val="32"/>
          <w:szCs w:val="32"/>
          <w:highlight w:val="none"/>
          <w:lang w:eastAsia="zh-CN"/>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lang w:val="zh-CN"/>
        </w:rPr>
        <w:t>支持龙头企业。</w:t>
      </w:r>
      <w:r>
        <w:rPr>
          <w:rFonts w:hint="eastAsia" w:ascii="仿宋" w:hAnsi="仿宋" w:eastAsia="仿宋" w:cs="黑体"/>
          <w:b w:val="0"/>
          <w:bCs w:val="0"/>
          <w:color w:val="auto"/>
          <w:sz w:val="32"/>
          <w:szCs w:val="32"/>
          <w:highlight w:val="none"/>
        </w:rPr>
        <w:t>加大对农业龙头企业扶持力度，对首次认定的国家级、省级农业产业化龙头企业和年销售收入首次突破10亿元的农业龙头企业给予一定奖励。支持农业龙头企业上市融资，对在主板成功上市企业给予奖励</w:t>
      </w:r>
      <w:r>
        <w:rPr>
          <w:rFonts w:hint="eastAsia" w:ascii="仿宋" w:hAnsi="仿宋" w:eastAsia="仿宋" w:cs="黑体"/>
          <w:b w:val="0"/>
          <w:bCs w:val="0"/>
          <w:color w:val="auto"/>
          <w:sz w:val="32"/>
          <w:szCs w:val="32"/>
          <w:highlight w:val="none"/>
          <w:lang w:eastAsia="zh-CN"/>
        </w:rPr>
        <w:t>。</w:t>
      </w:r>
    </w:p>
    <w:p>
      <w:pPr>
        <w:pStyle w:val="13"/>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firstLineChars="200"/>
        <w:textAlignment w:val="auto"/>
        <w:rPr>
          <w:rFonts w:hint="eastAsia" w:ascii="仿宋" w:hAnsi="仿宋" w:eastAsia="仿宋" w:cs="黑体"/>
          <w:b w:val="0"/>
          <w:bCs w:val="0"/>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eastAsia" w:ascii="楷体" w:hAnsi="楷体" w:eastAsia="楷体" w:cs="楷体"/>
          <w:b/>
          <w:bCs/>
          <w:color w:val="auto"/>
          <w:sz w:val="32"/>
          <w:szCs w:val="32"/>
          <w:highlight w:val="none"/>
          <w:lang w:val="zh-CN"/>
        </w:rPr>
        <w:t>支持生产环节。</w:t>
      </w:r>
      <w:r>
        <w:rPr>
          <w:rFonts w:hint="eastAsia" w:ascii="仿宋" w:hAnsi="仿宋" w:eastAsia="仿宋" w:cs="黑体"/>
          <w:b w:val="0"/>
          <w:bCs w:val="0"/>
          <w:color w:val="auto"/>
          <w:sz w:val="32"/>
          <w:szCs w:val="32"/>
          <w:highlight w:val="none"/>
        </w:rPr>
        <w:t>支持开展绿色种养循环、高质高效设施农业标准化基地创建。鼓励各类农业新型经营主体积极开展绿色有机认证、富硒认证和地理标志创建认定。</w:t>
      </w:r>
    </w:p>
    <w:p>
      <w:pPr>
        <w:pStyle w:val="13"/>
        <w:keepNext w:val="0"/>
        <w:keepLines w:val="0"/>
        <w:pageBreakBefore w:val="0"/>
        <w:numPr>
          <w:ilvl w:val="0"/>
          <w:numId w:val="0"/>
        </w:numPr>
        <w:kinsoku/>
        <w:wordWrap/>
        <w:overflowPunct/>
        <w:topLinePunct w:val="0"/>
        <w:autoSpaceDE/>
        <w:autoSpaceDN/>
        <w:bidi w:val="0"/>
        <w:adjustRightInd/>
        <w:snapToGrid w:val="0"/>
        <w:spacing w:after="0" w:line="600" w:lineRule="exact"/>
        <w:ind w:firstLine="683" w:firstLineChars="0"/>
        <w:rPr>
          <w:rFonts w:hint="eastAsia" w:ascii="仿宋" w:hAnsi="仿宋" w:eastAsia="仿宋" w:cs="黑体"/>
          <w:b w:val="0"/>
          <w:bCs w:val="0"/>
          <w:color w:val="auto"/>
          <w:sz w:val="32"/>
          <w:szCs w:val="32"/>
          <w:highlight w:val="none"/>
        </w:rPr>
      </w:pPr>
      <w:r>
        <w:rPr>
          <w:rFonts w:hint="eastAsia" w:ascii="楷体" w:hAnsi="楷体" w:eastAsia="楷体" w:cs="楷体"/>
          <w:b/>
          <w:bCs/>
          <w:color w:val="auto"/>
          <w:kern w:val="2"/>
          <w:sz w:val="32"/>
          <w:szCs w:val="32"/>
          <w:lang w:val="en-US" w:eastAsia="zh-CN" w:bidi="ar-SA"/>
        </w:rPr>
        <w:t>2.</w:t>
      </w:r>
      <w:r>
        <w:rPr>
          <w:rFonts w:hint="eastAsia" w:ascii="楷体" w:hAnsi="楷体" w:eastAsia="楷体" w:cs="楷体"/>
          <w:b/>
          <w:bCs/>
          <w:color w:val="auto"/>
          <w:sz w:val="32"/>
          <w:szCs w:val="32"/>
          <w:highlight w:val="none"/>
          <w:lang w:val="zh-CN"/>
        </w:rPr>
        <w:t>支持加工环节。</w:t>
      </w:r>
      <w:r>
        <w:rPr>
          <w:rFonts w:hint="eastAsia" w:ascii="仿宋" w:hAnsi="仿宋" w:eastAsia="仿宋" w:cs="黑体"/>
          <w:b w:val="0"/>
          <w:bCs w:val="0"/>
          <w:color w:val="auto"/>
          <w:sz w:val="32"/>
          <w:szCs w:val="32"/>
          <w:highlight w:val="none"/>
        </w:rPr>
        <w:t>鼓励市级以上农业龙头企业围绕地方优势特色产业开展农产品加工项目建设，推动生产装备升级改造，提升加工技术应用。加大对农业产业化加工龙头企业贷款贴息</w:t>
      </w:r>
      <w:r>
        <w:rPr>
          <w:rFonts w:hint="eastAsia" w:ascii="仿宋" w:hAnsi="仿宋" w:eastAsia="仿宋" w:cs="黑体"/>
          <w:b w:val="0"/>
          <w:bCs w:val="0"/>
          <w:color w:val="auto"/>
          <w:sz w:val="32"/>
          <w:szCs w:val="32"/>
          <w:highlight w:val="none"/>
          <w:lang w:eastAsia="zh-CN"/>
        </w:rPr>
        <w:t>。</w:t>
      </w:r>
    </w:p>
    <w:p>
      <w:pPr>
        <w:pStyle w:val="13"/>
        <w:keepNext w:val="0"/>
        <w:keepLines w:val="0"/>
        <w:pageBreakBefore w:val="0"/>
        <w:numPr>
          <w:ilvl w:val="0"/>
          <w:numId w:val="0"/>
        </w:numPr>
        <w:kinsoku/>
        <w:wordWrap/>
        <w:overflowPunct/>
        <w:topLinePunct w:val="0"/>
        <w:autoSpaceDE/>
        <w:autoSpaceDN/>
        <w:bidi w:val="0"/>
        <w:adjustRightInd/>
        <w:snapToGrid w:val="0"/>
        <w:spacing w:after="0" w:line="600" w:lineRule="exact"/>
        <w:ind w:firstLine="683" w:firstLineChars="0"/>
        <w:rPr>
          <w:rFonts w:hint="eastAsia" w:ascii="仿宋" w:hAnsi="仿宋" w:eastAsia="仿宋" w:cs="黑体"/>
          <w:b w:val="0"/>
          <w:bCs w:val="0"/>
          <w:color w:val="auto"/>
          <w:sz w:val="32"/>
          <w:szCs w:val="32"/>
          <w:highlight w:val="none"/>
        </w:rPr>
      </w:pPr>
      <w:r>
        <w:rPr>
          <w:rFonts w:hint="eastAsia" w:ascii="楷体" w:hAnsi="楷体" w:eastAsia="楷体" w:cs="楷体"/>
          <w:b/>
          <w:bCs/>
          <w:color w:val="auto"/>
          <w:kern w:val="2"/>
          <w:sz w:val="32"/>
          <w:szCs w:val="32"/>
          <w:lang w:val="en-US" w:eastAsia="zh-CN" w:bidi="ar-SA"/>
        </w:rPr>
        <w:t>3.</w:t>
      </w:r>
      <w:r>
        <w:rPr>
          <w:rFonts w:hint="eastAsia" w:ascii="楷体" w:hAnsi="楷体" w:eastAsia="楷体" w:cs="楷体"/>
          <w:b/>
          <w:bCs/>
          <w:color w:val="auto"/>
          <w:sz w:val="32"/>
          <w:szCs w:val="32"/>
          <w:highlight w:val="none"/>
          <w:lang w:val="zh-CN"/>
        </w:rPr>
        <w:t>支持品牌培育。</w:t>
      </w:r>
      <w:r>
        <w:rPr>
          <w:rFonts w:hint="eastAsia" w:ascii="仿宋" w:hAnsi="仿宋" w:eastAsia="仿宋" w:cs="黑体"/>
          <w:b w:val="0"/>
          <w:bCs w:val="0"/>
          <w:color w:val="auto"/>
          <w:sz w:val="32"/>
          <w:szCs w:val="32"/>
          <w:highlight w:val="none"/>
        </w:rPr>
        <w:t>对入选中国农业品牌名录、全省农产品品牌100强、"赣鄱正品"新认证品牌主体给予扶持，培育更多地方特色品牌。</w:t>
      </w:r>
    </w:p>
    <w:p>
      <w:pPr>
        <w:pStyle w:val="13"/>
        <w:keepNext w:val="0"/>
        <w:keepLines w:val="0"/>
        <w:pageBreakBefore w:val="0"/>
        <w:numPr>
          <w:ilvl w:val="0"/>
          <w:numId w:val="0"/>
        </w:numPr>
        <w:kinsoku/>
        <w:wordWrap/>
        <w:overflowPunct/>
        <w:topLinePunct w:val="0"/>
        <w:autoSpaceDE/>
        <w:autoSpaceDN/>
        <w:bidi w:val="0"/>
        <w:adjustRightInd/>
        <w:snapToGrid w:val="0"/>
        <w:spacing w:after="0" w:line="600" w:lineRule="exact"/>
        <w:ind w:firstLine="683" w:firstLineChars="0"/>
        <w:rPr>
          <w:rFonts w:ascii="仿宋" w:hAnsi="仿宋" w:eastAsia="仿宋" w:cs="仿宋_GB2312"/>
          <w:bCs/>
          <w:color w:val="auto"/>
          <w:sz w:val="32"/>
          <w:szCs w:val="32"/>
          <w:highlight w:val="none"/>
        </w:rPr>
      </w:pPr>
      <w:r>
        <w:rPr>
          <w:rFonts w:hint="eastAsia" w:ascii="楷体" w:hAnsi="楷体" w:eastAsia="楷体" w:cs="楷体"/>
          <w:b/>
          <w:bCs/>
          <w:color w:val="auto"/>
          <w:kern w:val="2"/>
          <w:sz w:val="32"/>
          <w:szCs w:val="32"/>
          <w:lang w:val="en-US" w:eastAsia="zh-CN" w:bidi="ar-SA"/>
        </w:rPr>
        <w:t>4.</w:t>
      </w:r>
      <w:r>
        <w:rPr>
          <w:rFonts w:hint="eastAsia" w:ascii="楷体" w:hAnsi="楷体" w:eastAsia="楷体" w:cs="楷体"/>
          <w:b/>
          <w:bCs/>
          <w:color w:val="auto"/>
          <w:sz w:val="32"/>
          <w:szCs w:val="32"/>
          <w:highlight w:val="none"/>
          <w:lang w:val="zh-CN"/>
        </w:rPr>
        <w:t>强化金融支持。</w:t>
      </w:r>
      <w:r>
        <w:rPr>
          <w:rFonts w:hint="eastAsia" w:ascii="仿宋" w:hAnsi="仿宋" w:eastAsia="仿宋" w:cs="黑体"/>
          <w:b w:val="0"/>
          <w:bCs w:val="0"/>
          <w:color w:val="auto"/>
          <w:sz w:val="32"/>
          <w:szCs w:val="32"/>
          <w:highlight w:val="none"/>
        </w:rPr>
        <w:t>加强金融机构开发适合农业特色产业发展的金融贷款产品，持续发挥"财政惠农信贷通"等支农功能。实施好各项政策性农业保险和特色农业保障，持续增强保险品种覆盖范围，提高农业产业抵御风险能力。 </w:t>
      </w:r>
    </w:p>
    <w:p>
      <w:pPr>
        <w:pStyle w:val="13"/>
        <w:keepNext w:val="0"/>
        <w:keepLines w:val="0"/>
        <w:pageBreakBefore w:val="0"/>
        <w:numPr>
          <w:ilvl w:val="0"/>
          <w:numId w:val="0"/>
        </w:numPr>
        <w:kinsoku/>
        <w:wordWrap/>
        <w:overflowPunct/>
        <w:topLinePunct w:val="0"/>
        <w:autoSpaceDE/>
        <w:autoSpaceDN/>
        <w:bidi w:val="0"/>
        <w:adjustRightInd/>
        <w:snapToGrid w:val="0"/>
        <w:spacing w:after="0" w:line="600" w:lineRule="exact"/>
        <w:ind w:firstLine="683" w:firstLineChars="0"/>
        <w:rPr>
          <w:rFonts w:hint="eastAsia" w:ascii="仿宋" w:hAnsi="仿宋" w:eastAsia="仿宋" w:cs="黑体"/>
          <w:b w:val="0"/>
          <w:bCs w:val="0"/>
          <w:color w:val="auto"/>
          <w:sz w:val="32"/>
          <w:szCs w:val="32"/>
          <w:highlight w:val="none"/>
        </w:rPr>
      </w:pPr>
      <w:r>
        <w:rPr>
          <w:rFonts w:hint="eastAsia" w:ascii="楷体" w:hAnsi="楷体" w:eastAsia="楷体" w:cs="楷体"/>
          <w:b/>
          <w:bCs/>
          <w:color w:val="auto"/>
          <w:kern w:val="2"/>
          <w:sz w:val="32"/>
          <w:szCs w:val="32"/>
          <w:lang w:val="en-US" w:eastAsia="zh-CN" w:bidi="ar-SA"/>
        </w:rPr>
        <w:t>5.</w:t>
      </w:r>
      <w:r>
        <w:rPr>
          <w:rFonts w:hint="eastAsia" w:ascii="楷体" w:hAnsi="楷体" w:eastAsia="楷体" w:cs="楷体"/>
          <w:b/>
          <w:bCs/>
          <w:color w:val="auto"/>
          <w:kern w:val="2"/>
          <w:sz w:val="32"/>
          <w:szCs w:val="32"/>
          <w:lang w:val="zh-CN" w:eastAsia="zh-CN" w:bidi="ar-SA"/>
        </w:rPr>
        <w:t>强</w:t>
      </w:r>
      <w:r>
        <w:rPr>
          <w:rFonts w:hint="eastAsia" w:ascii="楷体" w:hAnsi="楷体" w:eastAsia="楷体" w:cs="楷体"/>
          <w:b/>
          <w:bCs/>
          <w:color w:val="auto"/>
          <w:sz w:val="32"/>
          <w:szCs w:val="32"/>
          <w:highlight w:val="none"/>
          <w:lang w:val="zh-CN"/>
        </w:rPr>
        <w:t>化用地支持。</w:t>
      </w:r>
      <w:r>
        <w:rPr>
          <w:rFonts w:hint="eastAsia" w:ascii="仿宋" w:hAnsi="仿宋" w:eastAsia="仿宋" w:cs="仿宋_GB2312"/>
          <w:color w:val="auto"/>
          <w:sz w:val="32"/>
          <w:szCs w:val="32"/>
          <w:highlight w:val="none"/>
        </w:rPr>
        <w:t>落实农村产业融合发展用地优惠政策，对省级农业产业化龙头企业和具有发展潜力的市、县级农业产业化龙头企业建设用地，优先安排、优先审批，按照规定享受土地规费相关优惠政策。</w:t>
      </w:r>
      <w:r>
        <w:rPr>
          <w:rFonts w:hint="eastAsia" w:ascii="仿宋" w:hAnsi="仿宋" w:eastAsia="仿宋" w:cs="仿宋_GB2312"/>
          <w:bCs/>
          <w:color w:val="auto"/>
          <w:sz w:val="32"/>
          <w:szCs w:val="32"/>
          <w:highlight w:val="none"/>
        </w:rPr>
        <w:t>对农业龙头企业、休闲农业等生产经营主体实施农业产业项目，有农业建设用地需求，主动协助生产经营主体解决用地需求。</w:t>
      </w:r>
    </w:p>
    <w:p>
      <w:pPr>
        <w:pStyle w:val="13"/>
        <w:keepNext w:val="0"/>
        <w:keepLines w:val="0"/>
        <w:pageBreakBefore w:val="0"/>
        <w:kinsoku/>
        <w:wordWrap/>
        <w:overflowPunct/>
        <w:topLinePunct w:val="0"/>
        <w:autoSpaceDE/>
        <w:autoSpaceDN/>
        <w:bidi w:val="0"/>
        <w:adjustRightInd/>
        <w:snapToGrid w:val="0"/>
        <w:spacing w:after="0" w:line="600" w:lineRule="exact"/>
        <w:ind w:firstLine="683"/>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五、保障措施</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baseline"/>
        <w:rPr>
          <w:rFonts w:ascii="仿宋" w:hAnsi="仿宋" w:eastAsia="仿宋" w:cs="仿宋_GB2312"/>
          <w:color w:val="auto"/>
          <w:sz w:val="32"/>
          <w:szCs w:val="32"/>
          <w:highlight w:val="none"/>
        </w:rPr>
      </w:pPr>
      <w:r>
        <w:rPr>
          <w:rFonts w:hint="eastAsia" w:ascii="楷体" w:hAnsi="楷体" w:eastAsia="楷体" w:cs="楷体"/>
          <w:b/>
          <w:bCs/>
          <w:color w:val="auto"/>
          <w:sz w:val="32"/>
          <w:szCs w:val="32"/>
          <w:highlight w:val="none"/>
        </w:rPr>
        <w:t>1.强化组织领导。</w:t>
      </w:r>
      <w:r>
        <w:rPr>
          <w:rFonts w:hint="eastAsia" w:ascii="仿宋" w:hAnsi="仿宋" w:eastAsia="仿宋" w:cs="仿宋_GB2312"/>
          <w:color w:val="auto"/>
          <w:sz w:val="32"/>
          <w:szCs w:val="32"/>
          <w:highlight w:val="none"/>
        </w:rPr>
        <w:t>将昌江区提升农业产业化发展水平三年行动工作列入区委农村工作（乡村振兴工作）领导小组重要内容。各街道（乡、镇）要建立组织协调机制，结合当地优势特色，细化工作方案，打造农业特色产业单项冠军，形成上下贯通、多级联动的推进机制。</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楷体"/>
          <w:b/>
          <w:bCs/>
          <w:color w:val="auto"/>
          <w:kern w:val="2"/>
          <w:sz w:val="32"/>
          <w:szCs w:val="32"/>
          <w:lang w:val="en-US" w:eastAsia="zh-CN" w:bidi="ar-SA"/>
        </w:rPr>
        <w:t>2.强</w:t>
      </w:r>
      <w:r>
        <w:rPr>
          <w:rFonts w:hint="eastAsia" w:ascii="楷体" w:hAnsi="楷体" w:eastAsia="楷体" w:cs="楷体"/>
          <w:b/>
          <w:bCs/>
          <w:color w:val="auto"/>
          <w:sz w:val="32"/>
          <w:szCs w:val="32"/>
          <w:highlight w:val="none"/>
        </w:rPr>
        <w:t>化要素集聚。</w:t>
      </w:r>
      <w:r>
        <w:rPr>
          <w:rFonts w:hint="eastAsia" w:ascii="仿宋" w:hAnsi="仿宋" w:eastAsia="仿宋" w:cs="仿宋_GB2312"/>
          <w:color w:val="auto"/>
          <w:sz w:val="32"/>
          <w:szCs w:val="32"/>
          <w:highlight w:val="none"/>
        </w:rPr>
        <w:t>聚焦重点农业特色产业,全力招大引强,引进重大项目,树立特色品牌,促进融合发展。引导和撬动社会资本，鼓励参与现代农业、产业融合和农村基础设施等建设。统筹推进涉农资金、农业立项审批、土地审批、环评等各项要素政策到位。</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ascii="仿宋" w:hAnsi="仿宋" w:eastAsia="仿宋" w:cs="仿宋_GB2312"/>
          <w:b/>
          <w:bCs/>
          <w:color w:val="auto"/>
          <w:sz w:val="32"/>
          <w:szCs w:val="32"/>
          <w:highlight w:val="none"/>
        </w:rPr>
      </w:pPr>
      <w:r>
        <w:rPr>
          <w:rFonts w:hint="eastAsia" w:ascii="楷体" w:hAnsi="楷体" w:eastAsia="楷体" w:cs="楷体"/>
          <w:b/>
          <w:bCs/>
          <w:color w:val="auto"/>
          <w:sz w:val="32"/>
          <w:szCs w:val="32"/>
          <w:highlight w:val="none"/>
        </w:rPr>
        <w:t>3.强化项目管理。</w:t>
      </w:r>
      <w:r>
        <w:rPr>
          <w:rFonts w:hint="eastAsia" w:ascii="仿宋" w:hAnsi="仿宋" w:eastAsia="仿宋" w:cs="仿宋_GB2312"/>
          <w:color w:val="auto"/>
          <w:sz w:val="32"/>
          <w:szCs w:val="32"/>
          <w:highlight w:val="none"/>
        </w:rPr>
        <w:t>建立健全项目管理制度,每年根据政策导向，建立项目储备库，实行清单式动态化管理。项目申报、实施验收、资金兑付、监督绩效等工作实行属地落实责任，强化项目资金管理做到公开公平公正。</w:t>
      </w:r>
    </w:p>
    <w:p>
      <w:pPr>
        <w:keepNext w:val="0"/>
        <w:keepLines w:val="0"/>
        <w:pageBreakBefore w:val="0"/>
        <w:kinsoku/>
        <w:wordWrap/>
        <w:overflowPunct/>
        <w:topLinePunct w:val="0"/>
        <w:autoSpaceDE/>
        <w:autoSpaceDN/>
        <w:bidi w:val="0"/>
        <w:adjustRightInd/>
        <w:spacing w:line="600" w:lineRule="exact"/>
        <w:ind w:firstLine="640" w:firstLineChars="200"/>
        <w:rPr>
          <w:rFonts w:ascii="仿宋" w:hAnsi="仿宋" w:eastAsia="仿宋" w:cs="仿宋_GB2312"/>
          <w:color w:val="auto"/>
          <w:sz w:val="32"/>
          <w:szCs w:val="32"/>
          <w:highlight w:val="none"/>
        </w:rPr>
      </w:pPr>
      <w:r>
        <w:rPr>
          <w:rFonts w:hint="eastAsia" w:ascii="楷体" w:hAnsi="楷体" w:eastAsia="楷体" w:cs="楷体"/>
          <w:b/>
          <w:bCs/>
          <w:color w:val="auto"/>
          <w:sz w:val="32"/>
          <w:szCs w:val="32"/>
          <w:highlight w:val="none"/>
        </w:rPr>
        <w:t>4.强化督导考核。</w:t>
      </w:r>
      <w:r>
        <w:rPr>
          <w:rFonts w:hint="eastAsia" w:ascii="仿宋" w:hAnsi="仿宋" w:eastAsia="仿宋" w:cs="仿宋_GB2312"/>
          <w:color w:val="auto"/>
          <w:sz w:val="32"/>
          <w:szCs w:val="32"/>
          <w:highlight w:val="none"/>
        </w:rPr>
        <w:t>将昌江区提升农业产业化发展水平三年行动工作列入全区农业农村工作重点任务，纳入全面推进乡村振兴行动考核内容，考核结果作为街道(乡、镇)年度综合考核的重要依据。</w:t>
      </w:r>
    </w:p>
    <w:p>
      <w:pPr>
        <w:pStyle w:val="12"/>
        <w:ind w:left="0" w:leftChars="0"/>
        <w:rPr>
          <w:rFonts w:ascii="宋体" w:hAnsi="宋体" w:eastAsia="仿宋_GB2312" w:cs="仿宋_GB2312"/>
          <w:color w:val="auto"/>
          <w:sz w:val="34"/>
          <w:szCs w:val="34"/>
          <w:highlight w:val="none"/>
        </w:rPr>
      </w:pPr>
    </w:p>
    <w:p>
      <w:pPr>
        <w:rPr>
          <w:rFonts w:ascii="宋体" w:hAnsi="宋体" w:eastAsia="仿宋_GB2312" w:cs="仿宋_GB2312"/>
          <w:color w:val="auto"/>
          <w:sz w:val="34"/>
          <w:szCs w:val="34"/>
          <w:highlight w:val="none"/>
        </w:rPr>
      </w:pPr>
    </w:p>
    <w:p>
      <w:pPr>
        <w:pStyle w:val="12"/>
        <w:ind w:left="0" w:leftChars="0"/>
        <w:rPr>
          <w:color w:val="auto"/>
          <w:highlight w:val="none"/>
        </w:rPr>
        <w:sectPr>
          <w:pgSz w:w="11906" w:h="16838"/>
          <w:pgMar w:top="1440" w:right="1230" w:bottom="1157" w:left="1457" w:header="851" w:footer="992" w:gutter="0"/>
          <w:pgNumType w:fmt="decimal"/>
          <w:cols w:space="720" w:num="1"/>
          <w:docGrid w:type="linesAndChars" w:linePitch="319" w:charSpace="0"/>
        </w:sectPr>
      </w:pPr>
    </w:p>
    <w:p>
      <w:pPr>
        <w:pStyle w:val="12"/>
        <w:ind w:left="0" w:leftChars="0"/>
        <w:jc w:val="left"/>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附件2</w:t>
      </w:r>
    </w:p>
    <w:p>
      <w:pPr>
        <w:pStyle w:val="13"/>
        <w:spacing w:after="0" w:line="62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农业七大产业综合产值目标任务及</w:t>
      </w:r>
    </w:p>
    <w:p>
      <w:pPr>
        <w:pStyle w:val="13"/>
        <w:spacing w:after="0" w:line="62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重点任务指标分解表</w:t>
      </w:r>
    </w:p>
    <w:tbl>
      <w:tblPr>
        <w:tblStyle w:val="18"/>
        <w:tblpPr w:leftFromText="180" w:rightFromText="180" w:vertAnchor="text" w:horzAnchor="page" w:tblpX="1376" w:tblpY="468"/>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4350"/>
        <w:gridCol w:w="100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80" w:type="dxa"/>
            <w:noWrap/>
            <w:vAlign w:val="center"/>
          </w:tcPr>
          <w:p>
            <w:pPr>
              <w:pStyle w:val="13"/>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昌江区</w:t>
            </w:r>
          </w:p>
        </w:tc>
        <w:tc>
          <w:tcPr>
            <w:tcW w:w="4350" w:type="dxa"/>
            <w:vAlign w:val="center"/>
          </w:tcPr>
          <w:p>
            <w:pPr>
              <w:pStyle w:val="13"/>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年度指标</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2023年</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2024年</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80" w:type="dxa"/>
            <w:vMerge w:val="restart"/>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r>
              <w:rPr>
                <w:rFonts w:hint="eastAsia" w:ascii="方正小标宋简体" w:hAnsi="方正小标宋简体" w:eastAsia="方正小标宋简体" w:cs="方正小标宋简体"/>
                <w:b w:val="0"/>
                <w:bCs w:val="0"/>
                <w:color w:val="auto"/>
                <w:sz w:val="24"/>
                <w:highlight w:val="none"/>
              </w:rPr>
              <w:t>农业七大产业综合产值目标任务（单位：亿元）</w:t>
            </w:r>
          </w:p>
        </w:tc>
        <w:tc>
          <w:tcPr>
            <w:tcW w:w="4350" w:type="dxa"/>
            <w:noWrap/>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综合产值（七大产业和其它产业）</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17.2</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19.2</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稻米</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1.55</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1.58</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油料</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1.3</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1.55</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果蔬</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2.15</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2.56</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畜牧</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8.42</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9.33</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水产</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1.09</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1.09</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茶叶</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0.08</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0.1</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tc>
        <w:tc>
          <w:tcPr>
            <w:tcW w:w="4350" w:type="dxa"/>
            <w:noWrap/>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中药材</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0.15</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0.17</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80" w:type="dxa"/>
            <w:vMerge w:val="restart"/>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p>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auto"/>
                <w:sz w:val="24"/>
                <w:highlight w:val="none"/>
              </w:rPr>
            </w:pPr>
            <w:r>
              <w:rPr>
                <w:rFonts w:hint="eastAsia" w:ascii="方正小标宋简体" w:hAnsi="方正小标宋简体" w:eastAsia="方正小标宋简体" w:cs="方正小标宋简体"/>
                <w:b w:val="0"/>
                <w:bCs w:val="0"/>
                <w:color w:val="auto"/>
                <w:sz w:val="24"/>
                <w:highlight w:val="none"/>
              </w:rPr>
              <w:t>重点任务指标</w:t>
            </w:r>
          </w:p>
        </w:tc>
        <w:tc>
          <w:tcPr>
            <w:tcW w:w="4350"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超10亿元农业产业化省级龙头企业数量（家）</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招商引资实际进资额（亿元）</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招引签约金额超10亿元项目数量（个）</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农产品加工业总产值（亿元）</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28</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35</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农产品产地冷藏保鲜设施（个）</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9</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11</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绿色有机地理标志农产品数量（个）</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19</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24</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80" w:type="dxa"/>
            <w:vMerge w:val="continue"/>
          </w:tcPr>
          <w:p>
            <w:pPr>
              <w:pStyle w:val="13"/>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b/>
                <w:bCs/>
                <w:color w:val="auto"/>
                <w:sz w:val="24"/>
                <w:highlight w:val="none"/>
              </w:rPr>
            </w:pPr>
          </w:p>
        </w:tc>
        <w:tc>
          <w:tcPr>
            <w:tcW w:w="4350"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水稻机械化种植率（%）</w:t>
            </w:r>
          </w:p>
        </w:tc>
        <w:tc>
          <w:tcPr>
            <w:tcW w:w="100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38.5</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41.5</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24"/>
                <w:highlight w:val="none"/>
              </w:rPr>
            </w:pPr>
            <w:r>
              <w:rPr>
                <w:rFonts w:hint="eastAsia" w:ascii="黑体" w:hAnsi="黑体" w:eastAsia="黑体" w:cs="黑体"/>
                <w:color w:val="auto"/>
                <w:sz w:val="24"/>
                <w:highlight w:val="none"/>
              </w:rPr>
              <w:t>44.5</w:t>
            </w:r>
          </w:p>
        </w:tc>
      </w:tr>
    </w:tbl>
    <w:p>
      <w:pPr>
        <w:pStyle w:val="13"/>
        <w:spacing w:after="0" w:line="620" w:lineRule="exact"/>
        <w:jc w:val="center"/>
        <w:rPr>
          <w:rFonts w:cs="黑体" w:asciiTheme="majorEastAsia" w:hAnsiTheme="majorEastAsia" w:eastAsiaTheme="majorEastAsia"/>
          <w:b/>
          <w:color w:val="auto"/>
          <w:sz w:val="32"/>
          <w:szCs w:val="32"/>
          <w:highlight w:val="none"/>
        </w:rPr>
      </w:pPr>
      <w:r>
        <w:rPr>
          <w:rFonts w:hint="eastAsia" w:ascii="黑体" w:hAnsi="黑体" w:eastAsia="黑体" w:cs="黑体"/>
          <w:color w:val="auto"/>
          <w:sz w:val="36"/>
          <w:szCs w:val="36"/>
          <w:highlight w:val="none"/>
        </w:rPr>
        <w:t xml:space="preserve">       </w:t>
      </w: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31</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7月11日，十一届昌江区政府召开第31次常务会，传达学习近期习近平总书记重要讲话、重要指示精神和党中央、国务院重要会议精神，省、市重要会议精神和省、市领导讲话、指示精神，听取有关工作情况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中央政治局第六次集体学习时的重要讲话精神。会议强调，要加强学习。全区各级政府系统要认真学习领会，切实把思想和行动统一到习近平总书记的讲话要求上来，不断强化理论武装，拓宽理论视野，攀登新的思想高峰；要强化实践。必须结合昌江实际和工作实际，在实践中发现真理、发展真理，用实践来实现真理、检验真理；要以民为本。要走好群众路线，发扬“四敢”精神，尊重人民群众首创成果，注重从人民的创造性实践中总结新鲜经验，着力让党的创新理论深入人民心中，成为接地气、聚民智、顺民意、得民心的理论。</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在全省扩大开放推动经济高质量发展大会上的讲话精神。会议强调，要进一步解放思想。牢固树立“不开放不发展、大开放大发展、高水平开放高质量发展”的理念，进一步增强扩大开放的紧迫感和责任感，推进更大领域、更宽领域、更深层次的全面开放；要进一步注重实效。聚焦生物医药和电子信息两个主导产业，加大上下游配套项目的招引对接力度，建立招商引资目标企业库，着力开展精准对接、靶向对接，推进招商引资提质增效；要进一步加强考核。通过考核的方式，推动全区各级部门协调联动、共同发力，凝聚全面扩大开放的强大合力，营造大招商、招大商的实干氛围。</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营商环境优化升级指挥部第五次会议精神。会议强调，优化数字营商环境是解放和发展生产力的必然要求，各有关部门要严格按照市里的部署要求落到实处。坚定完成全年经济目标任务不动摇，各部门要进一步拉高标杆、提高标准，把基础工作做得更扎实一些；坚定实施工业倍增三年行动计划不动摇，要尽快推动在建项目早投产，同时，推动一批项目实现当年签约、当年竣工、当年投产；坚定文化立市、工业强市、贸易兴市“三手”同向发力不动摇，各责任部门要严格按照时间节点推进文化产业、工业、商贸等重点项目，以高质量项目建设推动高质量发展。</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一批重要法规文件，研究审议并原则通过了《景德镇市昌江区优化县域义务教育资源配置工作方案》《昌江区融资平台优化升级实施方案》、关于昌江区2023年选聘城区专职网格员及预备社工事宜、关于昌江区2023年定向培养乡村教师岗位需求事宜、关于实施昌江区2024年城镇老旧小区改造项目事宜。</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6"/>
        <w:rPr>
          <w:rFonts w:hint="eastAsia" w:ascii="方正小标宋简体" w:hAnsi="方正小标宋简体" w:eastAsia="方正小标宋简体" w:cs="方正小标宋简体"/>
          <w:sz w:val="44"/>
          <w:szCs w:val="44"/>
        </w:rPr>
      </w:pPr>
    </w:p>
    <w:p>
      <w:pPr>
        <w:pStyle w:val="23"/>
        <w:rPr>
          <w:rFonts w:hint="eastAsia"/>
        </w:rPr>
      </w:pPr>
    </w:p>
    <w:p>
      <w:pPr>
        <w:rPr>
          <w:rFonts w:hint="eastAsia"/>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32</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7月27日，十一届昌江区政府召开第32次常务会，传达学习近期习近平总书记重要讲话、重要指示精神和党中央、国务院重要会议精神，省、市重要会议精神和省、市领导讲话、指示精神，听取有关工作情况汇报，研究有关事项。区委副书记、区政府党组书记、区长伊文斌主持会议。</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全国生态环境保护大会上的重要讲话精神。会议强调，要认真学习领会。深入学习贯彻习近平总书记重要讲话和大会精神，牢固树立和践行绿水青山就是金山银山的理念，坚决扛起政治责任，切实把思想和行动统一到习近平总书记重要讲话精神和党中央决策部署上来；要强化系统攻坚。加快发展方式绿色低碳转型，积极稳妥推进碳达峰碳中和，抓好关山断面水质、农业面源污染、机制砂、散乱污企业等重点难点问题整治，推动生态环境质量持续改善；要狠抓责任落实。充分发挥职能作用，落实责任清单，统筹抓好相关工作，形成齐抓共管工作合力，确保党中央决策部署落到实处、取得实效。</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十五届四次全体（扩大）会议精神。会议强调，全区政府系统要迅速传达学习，全面宣传贯彻省委十五届四次全体（扩大）会议精神，扎实做好拼经济、抓项目、优环境、惠民生、保稳定等各项工作。</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审计委员会第十次会议精神。会议强调，要强化政治引领，牢牢把握审计工作政治方向。深刻领会习近平总书记重要讲话精神实质和实践要求，全力提升全区审计工作制度化、规范化水平，加快推进审计监督体系和监督能力现代化，更好服务保障现代化新昌江落地落实；要坚持守正创新，全面提升审计监督工作质效。要全力以赴抓好审计整改落实，压实整改责任、注重源头防治，把审计问题整改与完善制度机制紧密结合起来，深化审计监督和纪检监察等各类监督贯通协同，确保审计发现的问题坚决、全面、彻底整改；要抓好自身建设，打造高素质专业化审计队伍。加强审计系统干部培训和专业人才引进力度，着力打造一支信念坚定、为民服务、业务精通、作风务实、敢于担当、清正廉洁的审计干部队伍，为新时代审计工作高质量发展提供坚实支撑。</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江西省人民政府关于印发江西省制造业重点产业链现代化建设“1269”行动计划（2023-2026年）的通知》。会议强调，要抢抓机遇。坚持把发展经济的着力点放在实体经济上，对标省委确定的行动计划，立足自身的产业基础、资源禀赋以及比较优势，加快金属材料、陶瓷材料、建筑材料等传统产业转型升级，全力推动生物医药、电子信息细分领域新动能培育，加快构建具有昌江特色、在全省产业发展格局中具有重要地位的现代化产业体系；要强化对接。一方面做好向省级行业部门的汇报沟通，及时掌握相关政策信息和成效考核评价体系；另一方面做好同企业的日常对接，及时了解企业发展动态和需求，深入挖掘更多社会资本和潜在项目，为推动全区经济社会发展创造新的动力源。</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市委书记刘锋在全市重点产业项目招商工作调度会上的讲话精神。会议强调，要坚定发展信念。正确认识和把握工业倍增、招商引资、营商环境“三位一体”关系，坚持文化立市、工业强市、商贸兴市“三手”同向发力不动摇，坚决克服疲劳厌战情绪和躺平心态，加快推动优质企业落户和重大项目落地；要锚定全年目标。紧盯工业发展、商贸文旅、先进陶瓷、数字经济、乡村振兴五条产业赛道，做到产业链招商、精准招商，确保按时按质按量完成市委、市政府下达的目标任务；要加快项目建设。要抢抓下半年有利天气，逐一明确时间表、路线图，强化日常调度和并联推进，迅速掀起建设高潮。同时，要继续全力做好争资争项和项目包装工作，深入钻研政策方案，做好向上对接工作。</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2023年上半年全区经济形势分析汇报。会议强调，要确保完成全年目标。着力在扶优扶强、招大引强、重大项目落地、用好用足政策上下功夫、见实效，确保全年目标顺利实现；要加速补齐工作短板。要压茬推进，继续保持良好的发展态势，规上服务业营收、规上工业企业入库等短板弱项要加速补齐，坚决做到不掉队、不退位、不躺平；要创新制定方法路径。多向上级行业部门汇报、向兄弟县市区学习，改良思路、改良做法，沿用“预报制”“项目库”等好的经验，加强人员实操培训，推动全区质的有效提升和量的合理增长取得最好成效。</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了全区城镇燃气安全管理工作情况汇报。会议强调，要提高政治站位。切实增强抓好燃气安全工作的政治敏锐性和政治责任感，把思想和行动统一到党中央、国务院和省、市决策部署上来，以对人民群众生命财产高度负责的态度，坚决防范各类燃气事故发生；要突出整治重点。下大力气解决企业经营、燃气管线、梭式窑等燃气安全工作中存在的重大隐患和薄弱环节，严厉打击瓶装液化气非法储存、灌装、运输、买卖等行为，加大突出问题攻坚力度；要强化保障措施。压紧压实企业主体责任、属地管理责任和行业部门监管责任，做好日常安全防范和监管，完善燃气应急预案，提升应急处置能力，高标准、严要求推动各项工作落地落实，切实提升城镇燃气安全管理水平。</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p>
    <w:p>
      <w:pPr>
        <w:pStyle w:val="2"/>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3"/>
        <w:rPr>
          <w:rFonts w:hint="eastAsia" w:ascii="仿宋_GB2312" w:hAnsi="仿宋_GB2312" w:eastAsia="仿宋_GB2312" w:cs="仿宋_GB2312"/>
          <w:kern w:val="2"/>
          <w:sz w:val="28"/>
          <w:szCs w:val="28"/>
          <w:lang w:val="en-US" w:eastAsia="zh-CN" w:bidi="ar-SA"/>
        </w:rPr>
      </w:pPr>
    </w:p>
    <w:p>
      <w:pPr>
        <w:pStyle w:val="6"/>
        <w:ind w:left="0" w:leftChars="0" w:firstLine="0" w:firstLineChars="0"/>
        <w:rPr>
          <w:rFonts w:hint="eastAsia"/>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33</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8月24日，十一届昌江区人民政府召开第33次常务会，传达学习近期习近平总书记重要讲话、重要指示精神和党中央、国务院重要会议精神，省、市重要会议精神和省、市领导讲话、指示精神，听取有关工作情况汇报，研究有关事项。区委副书记、区政府党组书记、区长伊文斌主持会议。</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会议传达学习《求是》杂志近期刊发的重要文章《习近平：加强基础研究 实现高水平科技自立自强》，会议强调，要加强前沿知识学习，全区各级各部门要深刻认识加强基础研究的极端重要性和现实紧迫性，加强人工智能、区块链、元宇宙等方面知识学习。要发扬科学精神，学习科研人员“甘坐冷板凳”的钻研精神，在日常工作中把基础工作做扎实、做到位。要推进产业转型升级，深入推进“1269”行动计划，围绕生物医药、电子信息产业，重点培育一批“专精特新”企业，把产业链向中高端迈进，不断提高产品附加值，让全区的产业更有成色、更有亮点、更具品牌。</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国家发改委印发的《关于恢复和扩大消费的措施》。会议强调，全区各级各有关部门要全面落实《恢复和扩大消费措施》20条具体举措，加快“镇生活”等重点项目建设，搭建扩大消费平台，培育消费聚集地，引流入昌、引客入昌，营造良好的消费环境。</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商务部等9部门联合印发的《县域商业三年行动计划》。会议强调，各有关单位和部门要认真学习和把握《县域商业三年行动计划》，积极向上对接，把握发展机遇，争取项目和资金，助力昌江高质量发展。</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会议传达学习省委主题教育领导小组第六次会议精神。会议强调，要严格按照区委和主题教育办的要求，高质量开展好主题教育相关工作。</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2022年乡村振兴实绩考核整改落实情况汇报。会议强调，思想认识要再深化。各有关责任部门要深刻认识乡村振兴战略的重要性，以问题整改落实为契机，正确认识工作中存在的困难与不足，吃透政策和文件精神，严格按照时间节点加快整改进度、及时销号，并做好本单位与上级部门纵向联系工作。问题整改要再实化。各级各单位要以此次实绩考核反馈的问题为导向，举一反三、深挖根源，在粮油生产、农产品品牌建设、生猪生产、农业科技创新、休闲农业和乡村旅游发展等方面全面自查自纠，对照考核要求，及时查漏补缺。组织领导要再强化。责任单位要做好牵头抓总和统筹协调工作，积极协调处理工作存在问题和困难，切实推进乡村振兴工作往深里走、往实里走。</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昌江区2023年上半年粮食安全工作情况汇报。会议强调，要认真学习贯彻习近平总书记关于粮食安全重要指示批示精神，进一步增强做好粮食安全工作的政治自觉，切实扛起稳粮食安全工作的行动自觉。要绷紧粮食安全生产思想弦。着力推进藏粮于地、藏粮于技战略，促进全区粮食综合生产能力、供给保障能力持续提升。要坚持问题导向，结合昌江实际认真研究粮食安全工作的新形势、新任务和新要求，以粮食安全责任制考核等为切入点，找不足、补短板，扎实有效抓好全区粮食安全各项工作。</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全区重大事故隐患专项排查整治2023行动工作情况汇报。会议强调，要提高站位。以“时时放心不下”的责任感抓安全，切实增强保安全护稳定的政治自觉。要压实责任。把安全生产作为头等大事抓在手上，严格落实“三管三必须”要求，履行好行业监管责任，提升安全隐患发现能力。要聚焦重点领域。以问题为导向，彻底排查整治风险隐患，以细而又细、实而又实的举措做好安全防范各项工作，坚决遏制各类事故发生。</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会议审议并原则通过了《昌江区加快推进农业产业化高质量发展的实施方案》《景德镇市昌江区先进陶瓷产业投资基金管理暂行办法》。</w:t>
      </w:r>
    </w:p>
    <w:p>
      <w:pPr>
        <w:keepNext w:val="0"/>
        <w:keepLines w:val="0"/>
        <w:pageBreakBefore w:val="0"/>
        <w:kinsoku/>
        <w:wordWrap/>
        <w:overflowPunct/>
        <w:topLinePunct w:val="0"/>
        <w:autoSpaceDE/>
        <w:autoSpaceDN/>
        <w:bidi w:val="0"/>
        <w:adjustRightInd/>
        <w:snapToGrid/>
        <w:ind w:firstLine="672"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right="0" w:firstLine="672" w:firstLineChars="200"/>
        <w:jc w:val="both"/>
        <w:textAlignment w:val="auto"/>
        <w:rPr>
          <w:rFonts w:hint="eastAsia" w:ascii="仿宋" w:hAnsi="仿宋" w:eastAsia="仿宋" w:cs="仿宋"/>
          <w:i w:val="0"/>
          <w:iCs w:val="0"/>
          <w:caps w:val="0"/>
          <w:color w:val="222222"/>
          <w:spacing w:val="8"/>
          <w:kern w:val="0"/>
          <w:sz w:val="32"/>
          <w:szCs w:val="32"/>
          <w:lang w:val="en-US" w:eastAsia="zh-CN" w:bidi="ar-SA"/>
        </w:rPr>
      </w:pPr>
    </w:p>
    <w:sectPr>
      <w:headerReference r:id="rId19" w:type="default"/>
      <w:footerReference r:id="rId21" w:type="default"/>
      <w:headerReference r:id="rId20" w:type="even"/>
      <w:footerReference r:id="rId22"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A0204"/>
    <w:charset w:val="00"/>
    <w:family w:val="roman"/>
    <w:pitch w:val="default"/>
    <w:sig w:usb0="E00006FF" w:usb1="4000045F" w:usb2="00000000" w:usb3="00000000" w:csb0="2000019F" w:csb1="00000000"/>
  </w:font>
  <w:font w:name="新宋体">
    <w:panose1 w:val="02010609030101010101"/>
    <w:charset w:val="86"/>
    <w:family w:val="modern"/>
    <w:pitch w:val="default"/>
    <w:sig w:usb0="00000283" w:usb1="288F0000" w:usb2="0000000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firstLine="280" w:firstLineChars="100"/>
                            <w:rPr>
                              <w:rStyle w:val="21"/>
                              <w:rFonts w:hint="eastAsia" w:ascii="宋体" w:hAnsi="宋体"/>
                              <w:sz w:val="28"/>
                              <w:szCs w:val="28"/>
                            </w:rPr>
                          </w:pPr>
                          <w:r>
                            <w:rPr>
                              <w:rStyle w:val="21"/>
                              <w:rFonts w:hint="eastAsia"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8</w:t>
                          </w:r>
                          <w:r>
                            <w:rPr>
                              <w:rFonts w:ascii="宋体" w:hAnsi="宋体"/>
                              <w:sz w:val="28"/>
                              <w:szCs w:val="28"/>
                            </w:rPr>
                            <w:fldChar w:fldCharType="end"/>
                          </w:r>
                          <w:r>
                            <w:rPr>
                              <w:rStyle w:val="21"/>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right;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pPr>
                      <w:pStyle w:val="10"/>
                      <w:ind w:firstLine="280" w:firstLineChars="100"/>
                      <w:rPr>
                        <w:rStyle w:val="21"/>
                        <w:rFonts w:hint="eastAsia" w:ascii="宋体" w:hAnsi="宋体"/>
                        <w:sz w:val="28"/>
                        <w:szCs w:val="28"/>
                      </w:rPr>
                    </w:pPr>
                    <w:r>
                      <w:rPr>
                        <w:rStyle w:val="21"/>
                        <w:rFonts w:hint="eastAsia"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8</w:t>
                    </w:r>
                    <w:r>
                      <w:rPr>
                        <w:rFonts w:ascii="宋体" w:hAnsi="宋体"/>
                        <w:sz w:val="28"/>
                        <w:szCs w:val="28"/>
                      </w:rPr>
                      <w:fldChar w:fldCharType="end"/>
                    </w:r>
                    <w:r>
                      <w:rPr>
                        <w:rStyle w:val="21"/>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pPr>
      <w:pStyle w:val="10"/>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ind w:firstLine="280" w:firstLineChars="100"/>
                            <w:rPr>
                              <w:rStyle w:val="21"/>
                              <w:rFonts w:hint="eastAsia" w:ascii="宋体" w:hAnsi="宋体"/>
                              <w:sz w:val="28"/>
                              <w:szCs w:val="28"/>
                            </w:rPr>
                          </w:pPr>
                          <w:r>
                            <w:rPr>
                              <w:rStyle w:val="21"/>
                              <w:rFonts w:hint="eastAsia"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8</w:t>
                          </w:r>
                          <w:r>
                            <w:rPr>
                              <w:rFonts w:ascii="宋体" w:hAnsi="宋体"/>
                              <w:sz w:val="28"/>
                              <w:szCs w:val="28"/>
                            </w:rPr>
                            <w:fldChar w:fldCharType="end"/>
                          </w:r>
                          <w:r>
                            <w:rPr>
                              <w:rStyle w:val="21"/>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right;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pPr>
                      <w:pStyle w:val="10"/>
                      <w:ind w:firstLine="280" w:firstLineChars="100"/>
                      <w:rPr>
                        <w:rStyle w:val="21"/>
                        <w:rFonts w:hint="eastAsia" w:ascii="宋体" w:hAnsi="宋体"/>
                        <w:sz w:val="28"/>
                        <w:szCs w:val="28"/>
                      </w:rPr>
                    </w:pPr>
                    <w:r>
                      <w:rPr>
                        <w:rStyle w:val="21"/>
                        <w:rFonts w:hint="eastAsia"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8</w:t>
                    </w:r>
                    <w:r>
                      <w:rPr>
                        <w:rFonts w:ascii="宋体" w:hAnsi="宋体"/>
                        <w:sz w:val="28"/>
                        <w:szCs w:val="28"/>
                      </w:rPr>
                      <w:fldChar w:fldCharType="end"/>
                    </w:r>
                    <w:r>
                      <w:rPr>
                        <w:rStyle w:val="21"/>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rPr>
    </w:pPr>
    <w:r>
      <w:rPr>
        <w:sz w:val="24"/>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6" o:spid="_x0000_s1026" o:spt="202" type="#_x0000_t202" style="position:absolute;left:0pt;margin-top:0pt;height:144pt;width:144pt;mso-position-horizontal:right;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Nk1soBAACbAwAADgAAAGRycy9lMm9Eb2MueG1srVNLbtswEN0X6B0I&#10;7mMqRhA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arq8osRygxM//f51+vPv9Pcn&#10;Ka+TQL2HCvPuPWbG4YMbcG1mP6Az8R7aYNIXGRGMo7zHs7xyiESkR+WyLAsMCYzNF8RnD899gPhR&#10;OkOSUdOA88uy8sNniGPqnJKqWXentM4z1PaJAzGTh6Xexx6TFYftMBHauuaIfHocfU0tbjol+pNF&#10;ZdOWzEaYje1s7H1Quy6vUaoH/nYfsYncW6owwk6FcWaZ3bRfaSke33PWwz+1/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ZNk1soBAACbAwAADgAAAAAAAAABACAAAAAeAQAAZHJzL2Uyb0Rv&#10;Yy54bWxQSwUGAAAAAAYABgBZAQAAWg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4"/>
      </w:rPr>
    </w:pPr>
    <w:r>
      <w:rPr>
        <w:sz w:val="24"/>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right;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liP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cliP8oBAACbAwAADgAAAAAAAAABACAAAAAeAQAAZHJzL2Uyb0Rv&#10;Yy54bWxQSwUGAAAAAAYABgBZAQAAWg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RyGk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dHIaTgCAABxBAAADgAAAAAAAAABACAAAAAfAQAAZHJzL2Uyb0RvYy54&#10;bWxQSwUGAAAAAAYABgBZAQAAyQU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szCs w:val="40"/>
        <w:lang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pPr>
                      <w:pStyle w:val="11"/>
                      <w:pBdr>
                        <w:left w:val="none" w:color="auto" w:sz="0" w:space="14"/>
                      </w:pBdr>
                    </w:pPr>
                  </w:p>
                </w:txbxContent>
              </v:textbox>
            </v:shape>
          </w:pict>
        </mc:Fallback>
      </mc:AlternateContent>
    </w:r>
    <w:r>
      <w:rPr>
        <w:rFonts w:ascii="楷体" w:hAnsi="楷体" w:eastAsia="楷体" w:cs="楷体"/>
        <w:sz w:val="24"/>
      </w:rPr>
      <w:tab/>
    </w:r>
  </w:p>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Mqtg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XMqtg5AgAAcQQAAA4AAAAAAAAAAQAgAAAAHwEAAGRycy9lMm9Eb2Mu&#10;eG1sUEsFBgAAAAAGAAYAWQEAAMoFAAAAAA==&#10;">
              <v:fill on="f" focussize="0,0"/>
              <v:stroke on="f" weight="0.5pt"/>
              <v:imagedata o:title=""/>
              <o:lock v:ext="edit" aspectratio="f"/>
              <v:textbox inset="0mm,0mm,0mm,0mm" style="mso-fit-shape-to-text:t;">
                <w:txbxContent>
                  <w:p>
                    <w:pPr>
                      <w:pStyle w:val="11"/>
                    </w:pPr>
                  </w:p>
                </w:txbxContent>
              </v:textbox>
            </v:shape>
          </w:pict>
        </mc:Fallback>
      </mc:AlternateContent>
    </w:r>
    <w:r>
      <w:rPr>
        <w:rFonts w:hint="eastAsia" w:ascii="楷体" w:hAnsi="楷体" w:eastAsia="楷体" w:cs="楷体"/>
        <w:sz w:val="24"/>
        <w:lang w:eastAsia="zh-CN"/>
      </w:rPr>
      <w:t>政务动态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5305B"/>
    <w:multiLevelType w:val="singleLevel"/>
    <w:tmpl w:val="5F65305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ZDhlOTA0NTEwNmYyM2FmNjhlOTFjOGU3ZjgxNjEifQ=="/>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A053062"/>
    <w:rsid w:val="0AB56D90"/>
    <w:rsid w:val="0D4869A1"/>
    <w:rsid w:val="0DE34399"/>
    <w:rsid w:val="0DE82B49"/>
    <w:rsid w:val="0F575C2A"/>
    <w:rsid w:val="113217E0"/>
    <w:rsid w:val="13665CF9"/>
    <w:rsid w:val="16BD2D87"/>
    <w:rsid w:val="1A5348A7"/>
    <w:rsid w:val="1B22309D"/>
    <w:rsid w:val="1B424ADC"/>
    <w:rsid w:val="1B5D67D0"/>
    <w:rsid w:val="1C9457A5"/>
    <w:rsid w:val="1D2151DC"/>
    <w:rsid w:val="1D6D4435"/>
    <w:rsid w:val="1DE54342"/>
    <w:rsid w:val="21CB0B93"/>
    <w:rsid w:val="221C1533"/>
    <w:rsid w:val="223B63AD"/>
    <w:rsid w:val="22FC3CC3"/>
    <w:rsid w:val="23AA0EFD"/>
    <w:rsid w:val="23C12633"/>
    <w:rsid w:val="247578BD"/>
    <w:rsid w:val="27164CA8"/>
    <w:rsid w:val="289C2917"/>
    <w:rsid w:val="2A373FFE"/>
    <w:rsid w:val="2B66528F"/>
    <w:rsid w:val="2C29284E"/>
    <w:rsid w:val="2C4B3E88"/>
    <w:rsid w:val="2C947940"/>
    <w:rsid w:val="2D8F46B0"/>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70B6133"/>
    <w:rsid w:val="474A22DE"/>
    <w:rsid w:val="4A1B6ABD"/>
    <w:rsid w:val="4A6F51E7"/>
    <w:rsid w:val="4C642672"/>
    <w:rsid w:val="527C11E4"/>
    <w:rsid w:val="530C4E64"/>
    <w:rsid w:val="530F3135"/>
    <w:rsid w:val="54DB3A8C"/>
    <w:rsid w:val="564E344F"/>
    <w:rsid w:val="59440008"/>
    <w:rsid w:val="59DC38F4"/>
    <w:rsid w:val="5A202B08"/>
    <w:rsid w:val="5B227780"/>
    <w:rsid w:val="5BDB7A2A"/>
    <w:rsid w:val="5C13654C"/>
    <w:rsid w:val="5DA95F03"/>
    <w:rsid w:val="5EA16081"/>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D085BBD"/>
    <w:rsid w:val="7F73644D"/>
    <w:rsid w:val="7F90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Body Text First Indent"/>
    <w:basedOn w:val="2"/>
    <w:qFormat/>
    <w:uiPriority w:val="0"/>
    <w:pPr>
      <w:ind w:firstLine="420" w:firstLineChars="100"/>
    </w:pPr>
  </w:style>
  <w:style w:type="paragraph" w:styleId="5">
    <w:name w:val="Body Text Indent"/>
    <w:basedOn w:val="1"/>
    <w:next w:val="1"/>
    <w:unhideWhenUsed/>
    <w:qFormat/>
    <w:uiPriority w:val="99"/>
    <w:pPr>
      <w:spacing w:after="120"/>
      <w:ind w:left="420" w:leftChars="200"/>
    </w:pPr>
  </w:style>
  <w:style w:type="paragraph" w:styleId="6">
    <w:name w:val="toc 5"/>
    <w:basedOn w:val="1"/>
    <w:next w:val="1"/>
    <w:qFormat/>
    <w:uiPriority w:val="0"/>
    <w:pPr>
      <w:ind w:left="1680" w:leftChars="800"/>
    </w:pPr>
    <w:rPr>
      <w:rFonts w:ascii="Times New Roman" w:hAnsi="Times New Roman"/>
      <w:szCs w:val="21"/>
    </w:rPr>
  </w:style>
  <w:style w:type="paragraph" w:styleId="7">
    <w:name w:val="Plain Text"/>
    <w:basedOn w:val="1"/>
    <w:qFormat/>
    <w:uiPriority w:val="0"/>
    <w:rPr>
      <w:rFonts w:ascii="宋体" w:hAnsi="Courier New" w:cs="Courier New"/>
      <w:szCs w:val="21"/>
    </w:rPr>
  </w:style>
  <w:style w:type="paragraph" w:styleId="8">
    <w:name w:val="Body Text Indent 2"/>
    <w:basedOn w:val="1"/>
    <w:link w:val="33"/>
    <w:qFormat/>
    <w:uiPriority w:val="0"/>
    <w:pPr>
      <w:spacing w:after="120" w:line="480" w:lineRule="auto"/>
      <w:ind w:left="420" w:leftChars="200"/>
    </w:pPr>
    <w:rPr>
      <w:rFonts w:ascii="Calibri" w:hAnsi="Calibri" w:eastAsia="宋体" w:cs="黑体"/>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0"/>
    <w:pPr>
      <w:ind w:left="420" w:leftChars="200"/>
    </w:pPr>
    <w:rPr>
      <w:rFonts w:ascii="Times New Roman" w:hAnsi="Times New Roman" w:cs="黑体"/>
    </w:rPr>
  </w:style>
  <w:style w:type="paragraph" w:styleId="13">
    <w:name w:val="Body Text 2"/>
    <w:basedOn w:val="1"/>
    <w:qFormat/>
    <w:uiPriority w:val="0"/>
    <w:pPr>
      <w:spacing w:after="120" w:line="480" w:lineRule="auto"/>
    </w:pPr>
    <w:rPr>
      <w:rFonts w:ascii="Times New Roman" w:hAnsi="Times New Roman"/>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rFonts w:ascii="Calibri" w:hAnsi="Calibri"/>
      <w:kern w:val="0"/>
      <w:sz w:val="24"/>
    </w:rPr>
  </w:style>
  <w:style w:type="paragraph" w:styleId="16">
    <w:name w:val="Body Text First Indent 2"/>
    <w:basedOn w:val="5"/>
    <w:next w:val="1"/>
    <w:unhideWhenUsed/>
    <w:qFormat/>
    <w:uiPriority w:val="99"/>
    <w:pPr>
      <w:ind w:firstLine="420" w:firstLine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rFonts w:ascii="Times New Roman" w:hAnsi="Times New Roman" w:eastAsia="宋体" w:cs="Times New Roman"/>
      <w:b/>
    </w:rPr>
  </w:style>
  <w:style w:type="character" w:styleId="21">
    <w:name w:val="page number"/>
    <w:basedOn w:val="19"/>
    <w:qFormat/>
    <w:uiPriority w:val="0"/>
  </w:style>
  <w:style w:type="character" w:styleId="22">
    <w:name w:val="Hyperlink"/>
    <w:basedOn w:val="19"/>
    <w:semiHidden/>
    <w:unhideWhenUsed/>
    <w:qFormat/>
    <w:uiPriority w:val="99"/>
    <w:rPr>
      <w:color w:val="0000FF"/>
      <w:u w:val="single"/>
    </w:rPr>
  </w:style>
  <w:style w:type="paragraph" w:customStyle="1" w:styleId="23">
    <w:name w:val="引文目录标题1"/>
    <w:basedOn w:val="1"/>
    <w:next w:val="1"/>
    <w:qFormat/>
    <w:uiPriority w:val="0"/>
    <w:rPr>
      <w:rFonts w:ascii="Cambria" w:hAnsi="Cambria" w:cs="黑体"/>
      <w:sz w:val="24"/>
    </w:rPr>
  </w:style>
  <w:style w:type="paragraph" w:customStyle="1" w:styleId="24">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5">
    <w:name w:val="font41"/>
    <w:basedOn w:val="19"/>
    <w:qFormat/>
    <w:uiPriority w:val="0"/>
    <w:rPr>
      <w:rFonts w:hint="default" w:ascii="Times New Roman" w:hAnsi="Times New Roman" w:cs="Times New Roman"/>
      <w:color w:val="000000"/>
      <w:sz w:val="16"/>
      <w:szCs w:val="16"/>
      <w:u w:val="none"/>
    </w:rPr>
  </w:style>
  <w:style w:type="character" w:customStyle="1" w:styleId="26">
    <w:name w:val="font51"/>
    <w:basedOn w:val="19"/>
    <w:qFormat/>
    <w:uiPriority w:val="0"/>
    <w:rPr>
      <w:rFonts w:hint="eastAsia" w:ascii="宋体" w:hAnsi="宋体" w:eastAsia="宋体" w:cs="宋体"/>
      <w:color w:val="000000"/>
      <w:sz w:val="16"/>
      <w:szCs w:val="16"/>
      <w:u w:val="none"/>
    </w:rPr>
  </w:style>
  <w:style w:type="character" w:customStyle="1" w:styleId="27">
    <w:name w:val="font31"/>
    <w:basedOn w:val="19"/>
    <w:qFormat/>
    <w:uiPriority w:val="0"/>
    <w:rPr>
      <w:rFonts w:hint="eastAsia" w:ascii="宋体" w:hAnsi="宋体" w:eastAsia="宋体" w:cs="宋体"/>
      <w:color w:val="FF0000"/>
      <w:sz w:val="16"/>
      <w:szCs w:val="16"/>
      <w:u w:val="none"/>
    </w:rPr>
  </w:style>
  <w:style w:type="character" w:customStyle="1" w:styleId="28">
    <w:name w:val="font61"/>
    <w:basedOn w:val="19"/>
    <w:qFormat/>
    <w:uiPriority w:val="0"/>
    <w:rPr>
      <w:rFonts w:hint="eastAsia" w:ascii="宋体" w:hAnsi="宋体" w:eastAsia="宋体" w:cs="宋体"/>
      <w:color w:val="000000"/>
      <w:sz w:val="20"/>
      <w:szCs w:val="20"/>
      <w:u w:val="none"/>
    </w:rPr>
  </w:style>
  <w:style w:type="character" w:customStyle="1" w:styleId="29">
    <w:name w:val="font01"/>
    <w:basedOn w:val="19"/>
    <w:qFormat/>
    <w:uiPriority w:val="0"/>
    <w:rPr>
      <w:rFonts w:hint="eastAsia" w:ascii="宋体" w:hAnsi="宋体" w:eastAsia="宋体" w:cs="宋体"/>
      <w:color w:val="333333"/>
      <w:sz w:val="20"/>
      <w:szCs w:val="20"/>
      <w:u w:val="none"/>
    </w:rPr>
  </w:style>
  <w:style w:type="character" w:customStyle="1" w:styleId="30">
    <w:name w:val="font11"/>
    <w:basedOn w:val="19"/>
    <w:qFormat/>
    <w:uiPriority w:val="0"/>
    <w:rPr>
      <w:rFonts w:hint="eastAsia" w:ascii="宋体" w:hAnsi="宋体" w:eastAsia="宋体" w:cs="宋体"/>
      <w:color w:val="000000"/>
      <w:sz w:val="20"/>
      <w:szCs w:val="20"/>
      <w:u w:val="none"/>
    </w:rPr>
  </w:style>
  <w:style w:type="paragraph" w:customStyle="1" w:styleId="31">
    <w:name w:val="WPSOffice手动目录 1"/>
    <w:basedOn w:val="1"/>
    <w:next w:val="16"/>
    <w:qFormat/>
    <w:uiPriority w:val="0"/>
    <w:pPr>
      <w:widowControl/>
      <w:jc w:val="left"/>
    </w:pPr>
    <w:rPr>
      <w:rFonts w:ascii="Times New Roman" w:hAnsi="Times New Roman" w:eastAsia="宋体" w:cs="Times New Roman"/>
      <w:kern w:val="0"/>
      <w:sz w:val="20"/>
      <w:szCs w:val="20"/>
    </w:rPr>
  </w:style>
  <w:style w:type="character" w:customStyle="1" w:styleId="32">
    <w:name w:val="批注框文本 Char"/>
    <w:basedOn w:val="19"/>
    <w:link w:val="9"/>
    <w:qFormat/>
    <w:uiPriority w:val="0"/>
    <w:rPr>
      <w:rFonts w:asciiTheme="minorHAnsi" w:hAnsiTheme="minorHAnsi" w:eastAsiaTheme="minorEastAsia" w:cstheme="minorBidi"/>
      <w:kern w:val="2"/>
      <w:sz w:val="18"/>
      <w:szCs w:val="18"/>
    </w:rPr>
  </w:style>
  <w:style w:type="character" w:customStyle="1" w:styleId="33">
    <w:name w:val="正文文本缩进 2 Char"/>
    <w:basedOn w:val="19"/>
    <w:link w:val="8"/>
    <w:qFormat/>
    <w:uiPriority w:val="0"/>
    <w:rPr>
      <w:rFonts w:ascii="Calibri" w:hAnsi="Calibri" w:cs="黑体"/>
      <w:kern w:val="2"/>
      <w:sz w:val="21"/>
      <w:szCs w:val="24"/>
    </w:rPr>
  </w:style>
  <w:style w:type="paragraph" w:customStyle="1" w:styleId="34">
    <w:name w:val="列出段落1"/>
    <w:basedOn w:val="1"/>
    <w:unhideWhenUsed/>
    <w:qFormat/>
    <w:uiPriority w:val="99"/>
    <w:pPr>
      <w:ind w:firstLine="420" w:firstLineChars="200"/>
    </w:pPr>
    <w:rPr>
      <w:rFonts w:ascii="Calibri" w:hAnsi="Calibri" w:eastAsia="宋体" w:cs="黑体"/>
    </w:rPr>
  </w:style>
  <w:style w:type="paragraph" w:customStyle="1" w:styleId="35">
    <w:name w:val="List Paragraph"/>
    <w:basedOn w:val="1"/>
    <w:unhideWhenUsed/>
    <w:qFormat/>
    <w:uiPriority w:val="99"/>
    <w:pPr>
      <w:ind w:firstLine="420" w:firstLineChars="200"/>
    </w:p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34</Pages>
  <Words>15798</Words>
  <Characters>16108</Characters>
  <Lines>82</Lines>
  <Paragraphs>23</Paragraphs>
  <TotalTime>6</TotalTime>
  <ScaleCrop>false</ScaleCrop>
  <LinksUpToDate>false</LinksUpToDate>
  <CharactersWithSpaces>16217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2023-01-04T05:37:00Z</cp:lastPrinted>
  <dcterms:modified xsi:type="dcterms:W3CDTF">2023-09-11T02:10:53Z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46D76A3DFD114BB6B11A5375C1E5B000</vt:lpwstr>
  </property>
</Properties>
</file>