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6" cstate="print"/>
                    <a:stretch>
                      <a:fillRect/>
                    </a:stretch>
                  </pic:blipFill>
                  <pic:spPr>
                    <a:xfrm>
                      <a:off x="0" y="0"/>
                      <a:ext cx="2456815" cy="2456815"/>
                    </a:xfrm>
                    <a:prstGeom prst="rect">
                      <a:avLst/>
                    </a:prstGeom>
                  </pic:spPr>
                </pic:pic>
              </a:graphicData>
            </a:graphic>
          </wp:inline>
        </w:drawing>
      </w:r>
    </w:p>
    <w:p/>
    <w:p>
      <w:r>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GNy2FvMAgAAgAUAAA4AAABkcnMvZTJvRG9jLnhtbK1UzW4TMRC+&#10;I/EOlu90N0mThqibKrQKILW0okWcHa83a8lrG9v5KQ8Ab8CJC3eeq8/BZ+8mjQqHHlCkzYxnPDPf&#10;zDc+Pds2iqyF89LogvaOckqE5qaUelnQT3fzV2NKfGC6ZMpoUdB74enZ9OWL042diL6pjSqFIwii&#10;/WRjC1qHYCdZ5nktGuaPjBUaxsq4hgWobpmVjm0QvVFZP89H2ca40jrDhfc4vWiNtIvonhPQVJXk&#10;4sLwVSN0aKM6oVgAJF9L6+k0VVtVgofrqvIiEFVQIA3piySQF/GbTU/ZZOmYrSXvSmDPKeEJpoZJ&#10;jaT7UBcsMLJy8q9QjeTOeFOFI26arAWSOgIUvfxJb25rZkXCglZ7u2+6/39h+Yf1jSOyLOiAEs0a&#10;DPzhx/eHn78ffn0jg9iejfUTeN1a+IXtG7MFaXbnHocR9bZyTfwHHgI7mnu/b67YBsJxOBz0B/18&#10;SAmHrTfuj8d5an/2eN06H94K05AoFNRheqmpbH3pA0qB684lZtNmLpVKE1SabAo6GgzzdGFvwQ2l&#10;cTGCaIuNUtguth2yhSnvAcyZlhne8rlE8kvmww1zoAKwYFnCNT6VMkhiOomS2riv/zqP/pgQrJRs&#10;QK2C+i8r5gQl6r3G7F73jo8jF5NyPDzpQ3GHlsWhRa+acwP29rCWlicx+ge1Eytnms/YqVnMChPT&#10;HLkLGnbieWgJj53kYjZLTmCfZeFS31oeQ8d2ejtbBbQ0dhoaF1oMyihy0MKxbijGhdp0CzN3Rod2&#10;hZRc1uGjXBIn8YzUzPmaklKmMtrJHQT0dlAS8MKt4iP0Dtw46WFyKcMVC8JJBsB4P0JkP5ssxFqo&#10;u92E4Vij5v4J+NMVxfRSibYQjpLMyp0rl1C45QIiWceAs1H8pYhq1VyZsj0eDfM9E33rn6h2GAk8&#10;ikV3TGpJ0ylYzOTe9SRu/qGevB4fzu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JQjmdMAAAAH&#10;AQAADwAAAAAAAAABACAAAAAiAAAAZHJzL2Rvd25yZXYueG1sUEsBAhQAFAAAAAgAh07iQGNy2FvM&#10;AgAAgAUAAA4AAAAAAAAAAQAgAAAAIgEAAGRycy9lMm9Eb2MueG1sUEsFBgAAAAAGAAYAWQEAAGAG&#10;AAAAAA==&#10;">
            <v:path/>
            <v:fill on="f" focussize="0,0"/>
            <v:stroke on="f" weight="0.5pt" joinstyle="miter"/>
            <v:imagedata o:title=""/>
            <o:lock v:ext="edit"/>
            <v:textbox style="mso-fit-shape-to-text:t;">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w:r>
    </w:p>
    <w:p/>
    <w:p/>
    <w:p/>
    <w:p/>
    <w:p>
      <w:pPr>
        <w:spacing w:line="400" w:lineRule="exact"/>
        <w:jc w:val="center"/>
        <w:rPr>
          <w:spacing w:val="34"/>
          <w:sz w:val="32"/>
          <w:szCs w:val="32"/>
        </w:rPr>
      </w:pPr>
    </w:p>
    <w:p>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pPr>
        <w:spacing w:line="400" w:lineRule="exact"/>
        <w:jc w:val="center"/>
        <w:rPr>
          <w:b/>
          <w:bCs/>
          <w:spacing w:val="34"/>
          <w:sz w:val="32"/>
          <w:szCs w:val="32"/>
        </w:rPr>
      </w:pPr>
      <w:r>
        <w:rPr>
          <w:rFonts w:hint="eastAsia"/>
          <w:b/>
          <w:bCs/>
          <w:spacing w:val="34"/>
          <w:sz w:val="32"/>
          <w:szCs w:val="32"/>
        </w:rPr>
        <w:t>OF CHANGJIANG DISTRICT</w:t>
      </w:r>
    </w:p>
    <w:p/>
    <w:p/>
    <w:p/>
    <w:p/>
    <w:p/>
    <w:p/>
    <w:p/>
    <w:p/>
    <w:p/>
    <w:p/>
    <w:p/>
    <w:p/>
    <w:p/>
    <w:p>
      <w:r>
        <w:pict>
          <v:shape id="_x0000_s1032" o:spid="_x0000_s1032" o:spt="202" type="#_x0000_t202" style="position:absolute;left:0pt;margin-left:147.55pt;margin-top:1.9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njCuj8wCAACABQAADgAAAGRycy9lMm9Eb2MueG1srVTBbhMx&#10;EL0j8Q+W73STNEnTqBsUWgWQWlrRIs6O15u15PWYsTdJ+QD4A05cuPNd/Q7G3k0aFQ49oEibGc94&#10;Zt7MG5+93taGrRV6DTbn/aMeZ8pKKLRd5fzT3eLVhDMfhC2EAatyfq88fz17+eJs46ZqABWYQiGj&#10;INZPNy7nVQhummVeVqoW/gicsmQsAWsRSMVVVqDYUPTaZINeb5xtAAuHIJX3dHrRGnkXEZ8TEMpS&#10;S3UBsqmVDW1UVEYEguQr7TyfpWrLUslwXZZeBWZyTkhD+lISkpfxm83OxHSFwlVadiWI55TwBFMt&#10;tKWk+1AXIgjWoP4rVK0lgocyHEmosxZI6gih6Pee9Oa2Ek4lLNRq7/ZN9/8vrPywvkGmi5wPObOi&#10;poE//Pj+8PP3w69vbBjbs3F+Sl63jvzC9g1siTS7c0+HEfW2xDr+Ex5Gdmru/b65ahuYjJeGp+Px&#10;6YgzSbb+ZDCZ9FL7s8frDn14q6BmUcg50vRSU8X60gcqhVx3LjGbhYU2Jk3QWLbJ+fh41EsX9ha6&#10;YSxdjCDaYqMUtstth2wJxT0BQ2iZ4Z1caEp+KXy4EUhUICy0LOGaPqUBSgKdxFkF+PVf59GfJkRW&#10;zjZErZz7L41AxZl5b2l2p/3hMHIxKcPRyYAUPLQsDy22qc+B2NuntXQyidE/mJ1YItSfaafmMSuZ&#10;hJWUO+dhJ56HlvC0k1LN58mJ2OdEuLS3TsbQsZ3ezZtALY2dJk0qq46LKEqiBYpuKIChgm5hFgg2&#10;tCtk9KoKH/WKoaZnpBLoK84KncpoJ3cQ0LvjghEvsImP0Lucj076NLmU4UoEhVoQYHo/QmS/mC7V&#10;Wpm73YTJsaKaByfEn64oYVdGtYVIKgkaPDeYUOBqSSJbx4DzcfyliKapr6Boj8ej3p6JvvVPVDuM&#10;RDyKRXdMaknTKbSYyb3rSdz8Qz15PT6cs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jUfs+1QAA&#10;AAoBAAAPAAAAAAAAAAEAIAAAACIAAABkcnMvZG93bnJldi54bWxQSwECFAAUAAAACACHTuJAnjCu&#10;j8wCAACABQAADgAAAAAAAAABACAAAAAkAQAAZHJzL2Uyb0RvYy54bWxQSwUGAAAAAAYABgBZAQAA&#10;YgYAAAAA&#10;">
            <v:path/>
            <v:fill on="f" focussize="0,0"/>
            <v:stroke on="f" weight="0.5pt" joinstyle="miter"/>
            <v:imagedata o:title=""/>
            <o:lock v:ext="edit"/>
            <v:textbox style="mso-fit-shape-to-text:t;">
              <w:txbxContent>
                <w:p>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3</w:t>
                  </w:r>
                </w:p>
              </w:txbxContent>
            </v:textbox>
          </v:shape>
        </w:pict>
      </w:r>
    </w:p>
    <w:p/>
    <w:p/>
    <w:p>
      <w:pPr>
        <w:jc w:val="center"/>
      </w:pPr>
    </w:p>
    <w:p>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3</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16</w:t>
      </w:r>
      <w:r>
        <w:rPr>
          <w:rFonts w:hint="eastAsia" w:ascii="黑体" w:hAnsi="黑体" w:eastAsia="黑体" w:cs="黑体"/>
          <w:b/>
          <w:bCs/>
          <w:color w:val="FF0000"/>
          <w:sz w:val="32"/>
          <w:szCs w:val="32"/>
        </w:rPr>
        <w:t>期）</w:t>
      </w:r>
    </w:p>
    <w:p>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pPr>
        <w:pStyle w:val="26"/>
        <w:spacing w:after="0" w:line="598" w:lineRule="exact"/>
        <w:ind w:firstLine="0"/>
        <w:jc w:val="center"/>
        <w:rPr>
          <w:b/>
          <w:bCs/>
          <w:color w:val="000000"/>
          <w:sz w:val="44"/>
          <w:szCs w:val="44"/>
          <w:lang w:eastAsia="zh-CN"/>
        </w:rPr>
      </w:pPr>
    </w:p>
    <w:p>
      <w:pPr>
        <w:pStyle w:val="26"/>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19"/>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w:pict>
                <v:shape id="_x0000_s1040" o:spid="_x0000_s1040" o:spt="202" type="#_x0000_t202" style="position:absolute;left:0pt;margin-left:-60.85pt;margin-top:14.3pt;height:363.75pt;width:42pt;z-index:251664384;mso-width-relative:page;mso-height-relative:page;" stroked="t" coordsize="21600,21600" o:gfxdata="UEsDBAoAAAAAAIdO4kAAAAAAAAAAAAAAAAAEAAAAZHJzL1BLAwQUAAAACACHTuJAVirWDNYAAAAL&#10;AQAADwAAAGRycy9kb3ducmV2LnhtbE2PS0/EMAyE70j8h8hI3LppqlKxpekeVgLO++KcbUxbaJyo&#10;yT7g12NOcLRnPP6mWV3dJM44x9GTBrXIQSB13o7Ua9jvnrNHEDEZsmbyhBq+MMKqvb1pTG39hTZ4&#10;3qZecAjF2mgYUgq1lLEb0Jm48AGJtXc/O5N4nHtpZ3PhcDfJIs8r6cxI/GEwAdcDdp/bk2MMdGEZ&#10;0sHv8GOjyv3rW7H+ftH6/k7lTyASXtOfGX7x+QZaZjr6E9koJg2ZKh+YPbFScSl2ZJXixVFDVSxL&#10;kG0j/3dofwBQSwMEFAAAAAgAh07iQIJDxUljAgAA1gQAAA4AAABkcnMvZTJvRG9jLnhtbK1US27b&#10;MBDdF+gdCO4byd+kRuTATeCiQNAESD9rmqIsAfyVpC2lB2hv0FU33fdcOUcfKeXbLrKoF9QM5/nN&#10;zOOQxyedkmQvnG+MLujoIKdEaG7KRm8L+vHD+tURJT4wXTJptCjotfD0ZPnyxXFrF2JsaiNL4QhI&#10;tF+0tqB1CHaRZZ7XQjF/YKzQCFbGKRbgum1WOtaCXclsnOfzrDWutM5w4T12z/ogHRjdcwhNVTVc&#10;nBm+U0KHntUJyQJa8nVjPV2maqtK8HBRVV4EIguKTkNakQT2Jq7Z8pgtto7ZuuFDCew5JTzpSbFG&#10;I+kd1RkLjOxc8xeVargz3lThgBuV9Y0kRdDFKH+izVXNrEi9QGpv70T3/4+Wv99fOtKUmARIopnC&#10;id/8+H7z8/fNr28EexCotX4B3JUFMnRvTAfw7b7HZuy7q5yKX3REYvxwNppMwHhd0PE8H49hJ6lF&#10;FwgHYDaZTHPEOQCT+dEcf4iA7J7JOh/eCqNINArqcJRJYbY/96GH3kJiYm9kU64bKZPjtptT6cie&#10;4djX6TewP4JJTdqCziezPDE/ivnnUKBcqWNCkUZtKCzq1esSrdBtukHEjSmvoaEz/Rh6y9cNmjtn&#10;Plwyh7mDILiZ4QJLJQ1qM4NFSW3c13/tR3xBBfuELyUtJrmg/suOOUGJfKcxKq9H0ymIQ3Kms8Mx&#10;HPcwsnkY0Tt1aqDaCK+A5cmM+CBvzcoZ9RlXeBXzIsQ0R20FRfbePA39/cITwMVqlUAYdsvCub6y&#10;PFJHybRZ7YKpmnSWUaheHcxAdDDuaRqGqxnv00M/oe6f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irWDNYAAAALAQAADwAAAAAAAAABACAAAAAiAAAAZHJzL2Rvd25yZXYueG1sUEsBAhQAFAAA&#10;AAgAh07iQIJDxUljAgAA1gQAAA4AAAAAAAAAAQAgAAAAJQEAAGRycy9lMm9Eb2MueG1sUEsFBgAA&#10;AAAGAAYAWQEAAPoFAAAAAA==&#10;">
                  <v:path/>
                  <v:fill focussize="0,0"/>
                  <v:stroke weight="0.5pt" color="#FFFFFF" joinstyle="round"/>
                  <v:imagedata o:title=""/>
                  <o:lock v:ext="edit"/>
                  <v:textbox style="layout-flow:vertical-ideographic;">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w:r>
            <w:r>
              <w:rPr>
                <w:rFonts w:ascii="Times New Roman" w:hAnsi="Times New Roman" w:eastAsia="方正小标宋简体"/>
                <w:color w:val="000000"/>
              </w:rPr>
              <w:pict>
                <v:shape id="_x0000_s1031" o:spid="_x0000_s1031"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path/>
                  <v:fill on="f" focussize="0,0"/>
                  <v:stroke on="f" weight="0.5pt" joinstyle="miter"/>
                  <v:imagedata o:title=""/>
                  <o:lock v:ext="edit"/>
                  <v:textbox style="layout-flow:vertical-ideographic;">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w:r>
            <w:r>
              <w:rPr>
                <w:rFonts w:ascii="Times New Roman" w:hAnsi="Times New Roman" w:eastAsia="方正小标宋简体"/>
                <w:color w:val="000000"/>
                <w:sz w:val="44"/>
                <w:szCs w:val="44"/>
              </w:rPr>
              <w:t>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pPr>
              <w:spacing w:line="440" w:lineRule="exact"/>
              <w:jc w:val="center"/>
              <w:rPr>
                <w:rFonts w:ascii="Times New Roman" w:hAnsi="Times New Roman" w:eastAsia="方正黑体_GBK"/>
                <w:b/>
                <w:bCs/>
                <w:color w:val="000000"/>
                <w:sz w:val="24"/>
              </w:rPr>
            </w:pPr>
            <w:bookmarkStart w:id="7" w:name="_GoBack"/>
            <w:bookmarkEnd w:id="7"/>
            <w:r>
              <w:rPr>
                <w:rFonts w:ascii="黑体" w:hAnsi="黑体" w:eastAsia="黑体" w:cs="黑体"/>
                <w:color w:val="000000"/>
                <w:sz w:val="44"/>
                <w:szCs w:val="44"/>
              </w:rPr>
              <w:pict>
                <v:shape id="文本框 13" o:spid="_x0000_s1082"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qzkYXdkAAAAK&#10;AQAADwAAAGRycy9kb3ducmV2LnhtbE2PTU+DQBCG7yb+h82YeLMLaLeEsvRg4s2YUL963MIUiOws&#10;ZReo/97xpMeZefLO8+a7i+3FjKPvHGmIVxEIpMrVHTUa3l6f7lIQPhiqTe8INXyjh11xfZWbrHYL&#10;lTjvQyM4hHxmNLQhDJmUvmrRGr9yAxLfTm60JvA4NrIezcLhtpdJFClpTUf8oTUDPrZYfe0nq+Fl&#10;ntx787GuPumwlD49ncvn9Kz17U0cbUEEvIQ/GH71WR0Kdjq6iWoveg33641iVEOqYhAMqCTmxVFD&#10;ojYPIItc/q9Q/ABQSwMEFAAAAAgAh07iQDGjc7poAgAA1QQAAA4AAABkcnMvZTJvRG9jLnhtbK1U&#10;zW4TMRC+I/EOlu9ks2k2baNuqtAqCKmilQLi7Hi9WUu2x9hOdsMDwBtw4sKd58pzMPYm/YNDD+Tg&#10;zHi+/cbzzdgXl51WZCucl2BKmg+GlAjDoZJmXdJPHxdvzijxgZmKKTCipDvh6eXs9auL1k7FCBpQ&#10;lXAESYyftrakTQh2mmWeN0IzPwArDAZrcJoFdN06qxxrkV2rbDQcTrIWXGUdcOE97l73QXpgdC8h&#10;hLqWXFwD32hhQs/qhGIBS/KNtJ7O0mnrWvBwW9deBKJKipWGtGIStFdxzWYXbLp2zDaSH47AXnKE&#10;ZzVpJg0mvae6ZoGRjZN/UWnJHXiow4CDzvpCkiJYRT58ps2yYVakWlBqb+9F9/+Pln/Y3jkiK5yE&#10;E0oM09jx/Y/v+5+/97++EdxDgVrrp4hbWkSG7i10CD7ue9yMdXe10/EfKyIYH50XZ+NJQcmupGfj&#10;vJgURS+16ALhkWByOhkPsQscEXle5KMekT1QWefDOwGaRKOkDnuZJGbbGx/wWAg9QmJmD0pWC6lU&#10;ctx6daUc2TLs+yL9Yn785AlMGdKWdHJSDBPzk5h/CQUSKhMTijRrh4NFwXphohW6VXdQcQXVDkV0&#10;0M+ht3whsbgb5sMdczh4KAhezXCLS60AzwYHi5IG3Nd/7Uc8zgNGKWlxkEvqv2yYE5So9wYn5Twf&#10;j+PkJ2dcnI7QcY8jq8cRs9FXgJrl+AhYnsyID+po1g70Z7zB85gVQ8xwzF3ScDSvQn+98AXgYj5P&#10;IJx1y8KNWVoeqaNgBuabALVMnYwy9dpgj6KD0566dbiZ8To99hPq4TWa/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rORhd2QAAAAoBAAAPAAAAAAAAAAEAIAAAACIAAABkcnMvZG93bnJldi54bWxQ&#10;SwECFAAUAAAACACHTuJAMaNzumgCAADVBAAADgAAAAAAAAABACAAAAAoAQAAZHJzL2Uyb0RvYy54&#10;bWxQSwUGAAAAAAYABgBZAQAAAgYAAAAA&#10;">
                  <v:path/>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w:t>
                        </w:r>
                        <w:r>
                          <w:rPr>
                            <w:rFonts w:hint="eastAsia" w:ascii="Times New Roman" w:hAnsi="Times New Roman" w:eastAsia="方正黑体_GBK"/>
                            <w:szCs w:val="21"/>
                            <w:lang w:val="en-US" w:eastAsia="zh-CN"/>
                          </w:rPr>
                          <w:t>6</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年第</w:t>
                        </w:r>
                        <w:r>
                          <w:rPr>
                            <w:rFonts w:hint="eastAsia" w:ascii="Times New Roman" w:hAnsi="Times New Roman" w:eastAsia="方正黑体_GBK"/>
                            <w:szCs w:val="21"/>
                            <w:lang w:val="en-US" w:eastAsia="zh-CN"/>
                          </w:rPr>
                          <w:t>3</w:t>
                        </w:r>
                        <w:r>
                          <w:rPr>
                            <w:rFonts w:ascii="Times New Roman" w:hAnsi="Times New Roman" w:eastAsia="方正黑体_GBK"/>
                            <w:szCs w:val="21"/>
                          </w:rPr>
                          <w:t>期</w:t>
                        </w:r>
                      </w:p>
                      <w:p>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16</w:t>
                        </w:r>
                        <w:r>
                          <w:rPr>
                            <w:rFonts w:ascii="Times New Roman" w:hAnsi="Times New Roman" w:eastAsia="方正黑体_GBK"/>
                            <w:szCs w:val="21"/>
                          </w:rPr>
                          <w:t>期）</w:t>
                        </w:r>
                      </w:p>
                    </w:txbxContent>
                  </v:textbox>
                </v:shape>
              </w:pict>
            </w:r>
            <w:r>
              <w:rPr>
                <w:rFonts w:ascii="黑体" w:hAnsi="黑体" w:eastAsia="黑体" w:cs="黑体"/>
                <w:color w:val="000000"/>
                <w:spacing w:val="-11"/>
                <w:sz w:val="24"/>
              </w:rPr>
              <w:pict>
                <v:shape id="文本框 11" o:spid="_x0000_s1081"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O6RIJdcAAAAL&#10;AQAADwAAAGRycy9kb3ducmV2LnhtbE2PS1PDMAyE78zwHzxihhu1nabQhjg9dAY49wFnN1aTQCxn&#10;YvcBvx5xokdpV6tvy+XF9+KEY+wCGdATBQKpDq6jxsBu+/IwBxGTJWf7QGjgGyMsq9ub0hYunGmN&#10;p01qBIdQLKyBNqWhkDLWLXobJ2FAYu0QRm8Tj2Mj3WjPHO57mSn1KL3tiD+0dsBVi/XX5ugZA/2w&#10;GNJ72OLnWue7t49s9fNqzP2dVs8gEl7Svxn+8PkGKmbahyO5KHoDef6UsZUFraYg2DGbat7sDWQL&#10;NQNZlfK6Q/UL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ukSCXXAAAACwEAAA8AAAAAAAAAAQAgAAAAIgAAAGRycy9kb3ducmV2LnhtbFBL&#10;AQIUABQAAAAIAIdO4kBLXkXraQIAANYEAAAOAAAAAAAAAAEAIAAAACYBAABkcnMvZTJvRG9jLnht&#10;bFBLBQYAAAAABgAGAFkBAAABBgAAAAA=&#10;">
                  <v:path/>
                  <v:fill on="t" color2="#FFFFFF" focussize="0,0"/>
                  <v:stroke weight="0.5pt" color="#FFFFFF" joinstyle="round"/>
                  <v:imagedata o:title=""/>
                  <o:lock v:ext="edit" aspectratio="f"/>
                  <v:textbox style="layout-flow:vertical-ideographic;">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w:r>
            <w:r>
              <w:rPr>
                <w:rFonts w:ascii="黑体" w:hAnsi="黑体" w:eastAsia="黑体" w:cs="黑体"/>
                <w:color w:val="000000"/>
                <w:sz w:val="44"/>
                <w:szCs w:val="44"/>
              </w:rPr>
              <w:pict>
                <v:shape id="_x0000_s1043" o:spid="_x0000_s1043"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aBVwcNsAAAAM&#10;AQAADwAAAGRycy9kb3ducmV2LnhtbE2Py07DMBBF90j8gzVI7FLnoVI3jdMFEjuElFIeSzeeJhHx&#10;OI2dpPw9ZgXLmTm6c26xv5qezTi6zpKEZBUDQ6qt7qiRcHx9igQw5xVp1VtCCd/oYF/e3hQq13ah&#10;CueDb1gIIZcrCa33Q865q1s0yq3sgBRuZzsa5cM4NlyPagnhpudpHD9wozoKH1o14GOL9ddhMhJe&#10;5sm+Ne/r+oM+l8qJ86V6Fhcp7++SeAfM49X/wfCrH9ShDE4nO5F2rJcQZXGaBlZCts0SYAGJMhE2&#10;JwnrzUYALwv+v0T5A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oFXBw&#10;2wAAAAwBAAAPAAAAAAAAAAEAIAAAACIAAABkcnMvZG93bnJldi54bWxQSwECFAAUAAAACACHTuJA&#10;XGjy1VcCAADHBAAADgAAAAAAAAABACAAAAAqAQAAZHJzL2Uyb0RvYy54bWxQSwUGAAAAAAYABgBZ&#10;AQAA8wUAAAAA&#10;">
                  <v:path/>
                  <v:fill on="t" color2="#FFFFFF"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w:r>
            <w:r>
              <w:rPr>
                <w:rFonts w:hint="eastAsia" w:ascii="黑体" w:hAnsi="黑体" w:eastAsia="黑体" w:cs="黑体"/>
                <w:color w:val="000000"/>
                <w:sz w:val="24"/>
              </w:rPr>
              <w:t>文    件</w:t>
            </w:r>
          </w:p>
        </w:tc>
        <w:tc>
          <w:tcPr>
            <w:tcW w:w="4959" w:type="dxa"/>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昌江区人民政府办公室关于印发《昌江区提升农业产业化发展水平三年行动方案（2023-2025年）》的通知</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昌府办字〔2023〕25号</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昌江区人民政府办公室关于印发《景德镇市山田水库水环境治理及灌区综合整治工程实施方案》的通知</w:t>
            </w:r>
          </w:p>
          <w:p>
            <w:pPr>
              <w:pStyle w:val="5"/>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昌府办字〔2023〕28号</w:t>
            </w:r>
            <w:r>
              <w:rPr>
                <w:rFonts w:hint="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（10）</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eastAsia="方正小标宋简体"/>
                <w:lang w:eastAsia="zh-CN"/>
              </w:rPr>
            </w:pPr>
          </w:p>
        </w:tc>
      </w:tr>
    </w:tbl>
    <w:p>
      <w:pPr>
        <w:spacing w:line="600" w:lineRule="exact"/>
        <w:jc w:val="left"/>
        <w:rPr>
          <w:rFonts w:hint="eastAsia" w:ascii="方正小标宋简体" w:hAnsi="方正小标宋简体" w:eastAsia="方正小标宋简体" w:cs="方正小标宋简体"/>
          <w:color w:val="000000"/>
          <w:spacing w:val="17"/>
          <w:sz w:val="52"/>
          <w:szCs w:val="52"/>
        </w:rPr>
      </w:pP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19"/>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pPr>
              <w:shd w:val="clear" w:color="auto" w:fill="FFFFFF"/>
              <w:spacing w:line="120" w:lineRule="exact"/>
              <w:rPr>
                <w:rFonts w:hint="eastAsia" w:ascii="Calibri" w:hAnsi="Calibri" w:eastAsia="宋体" w:cs="Times New Roman"/>
                <w:b w:val="0"/>
                <w:bCs w:val="0"/>
                <w:kern w:val="2"/>
                <w:sz w:val="21"/>
                <w:szCs w:val="24"/>
                <w:lang w:val="en-US" w:eastAsia="zh-CN" w:bidi="ar-SA"/>
              </w:rPr>
            </w:pPr>
          </w:p>
          <w:p>
            <w:pPr>
              <w:pStyle w:val="7"/>
              <w:keepNext w:val="0"/>
              <w:keepLines w:val="0"/>
              <w:widowControl/>
              <w:shd w:val="clear" w:color="auto" w:fill="FFFFFF"/>
              <w:spacing w:before="0" w:after="0" w:line="400" w:lineRule="exact"/>
              <w:rPr>
                <w:rFonts w:hint="eastAsia" w:ascii="Calibri" w:hAnsi="Calibri" w:eastAsia="宋体" w:cs="Times New Roman"/>
                <w:b w:val="0"/>
                <w:bCs w:val="0"/>
                <w:kern w:val="2"/>
                <w:sz w:val="21"/>
                <w:szCs w:val="24"/>
                <w:lang w:val="en-US" w:eastAsia="zh-CN" w:bidi="ar-SA"/>
              </w:rPr>
            </w:pPr>
            <w:r>
              <w:rPr>
                <w:rFonts w:hint="eastAsia" w:ascii="Calibri" w:hAnsi="Calibri" w:eastAsia="宋体" w:cs="Times New Roman"/>
                <w:b w:val="0"/>
                <w:bCs w:val="0"/>
                <w:kern w:val="2"/>
                <w:sz w:val="21"/>
                <w:szCs w:val="24"/>
                <w:lang w:val="en-US" w:eastAsia="zh-CN" w:bidi="ar-SA"/>
              </w:rPr>
              <w:t xml:space="preserve">区政府召开第27次常务会议 </w:t>
            </w:r>
          </w:p>
          <w:p>
            <w:pPr>
              <w:pStyle w:val="7"/>
              <w:keepNext w:val="0"/>
              <w:keepLines w:val="0"/>
              <w:widowControl/>
              <w:shd w:val="clear" w:color="auto" w:fill="FFFFFF"/>
              <w:spacing w:before="0" w:after="0" w:line="400" w:lineRule="exact"/>
              <w:rPr>
                <w:rFonts w:hint="eastAsia" w:ascii="Calibri" w:hAnsi="Calibri" w:eastAsia="宋体" w:cs="Times New Roman"/>
                <w:b w:val="0"/>
                <w:bCs w:val="0"/>
                <w:kern w:val="2"/>
                <w:sz w:val="21"/>
                <w:szCs w:val="24"/>
                <w:lang w:val="en-US" w:eastAsia="zh-CN" w:bidi="ar-SA"/>
              </w:rPr>
            </w:pPr>
            <w:r>
              <w:rPr>
                <w:rFonts w:hint="eastAsia" w:ascii="Calibri" w:hAnsi="Calibri" w:eastAsia="宋体" w:cs="Times New Roman"/>
                <w:b w:val="0"/>
                <w:bCs w:val="0"/>
                <w:kern w:val="2"/>
                <w:sz w:val="21"/>
                <w:szCs w:val="24"/>
                <w:lang w:val="en-US" w:eastAsia="zh-CN" w:bidi="ar-SA"/>
              </w:rPr>
              <w:t>……………………………………………………（21）</w:t>
            </w:r>
          </w:p>
          <w:p>
            <w:pPr>
              <w:pStyle w:val="7"/>
              <w:keepNext w:val="0"/>
              <w:keepLines w:val="0"/>
              <w:widowControl/>
              <w:shd w:val="clear" w:color="auto" w:fill="FFFFFF"/>
              <w:spacing w:before="0" w:after="0" w:line="560" w:lineRule="exact"/>
              <w:rPr>
                <w:rFonts w:hint="eastAsia" w:ascii="Calibri" w:hAnsi="Calibri" w:eastAsia="宋体" w:cs="Times New Roman"/>
                <w:b w:val="0"/>
                <w:bCs w:val="0"/>
                <w:kern w:val="2"/>
                <w:sz w:val="21"/>
                <w:szCs w:val="24"/>
                <w:lang w:val="en-US" w:eastAsia="zh-CN" w:bidi="ar-SA"/>
              </w:rPr>
            </w:pPr>
            <w:r>
              <w:rPr>
                <w:rFonts w:hint="eastAsia" w:ascii="Calibri" w:hAnsi="Calibri" w:eastAsia="宋体" w:cs="Times New Roman"/>
                <w:b w:val="0"/>
                <w:bCs w:val="0"/>
                <w:kern w:val="2"/>
                <w:sz w:val="21"/>
                <w:szCs w:val="24"/>
                <w:lang w:val="en-US" w:eastAsia="zh-CN" w:bidi="ar-SA"/>
              </w:rPr>
              <w:t xml:space="preserve">区政府召开第28次常务会议 </w:t>
            </w:r>
          </w:p>
          <w:p>
            <w:pPr>
              <w:pStyle w:val="7"/>
              <w:shd w:val="clear" w:color="auto" w:fill="FFFFFF"/>
              <w:spacing w:before="0" w:after="0" w:line="560" w:lineRule="exact"/>
              <w:rPr>
                <w:rFonts w:hint="eastAsia" w:ascii="Calibri" w:hAnsi="Calibri" w:eastAsia="宋体" w:cs="Times New Roman"/>
                <w:b w:val="0"/>
                <w:bCs w:val="0"/>
                <w:kern w:val="2"/>
                <w:sz w:val="21"/>
                <w:szCs w:val="24"/>
                <w:lang w:val="en-US" w:eastAsia="zh-CN" w:bidi="ar-SA"/>
              </w:rPr>
            </w:pPr>
            <w:r>
              <w:rPr>
                <w:rFonts w:hint="eastAsia" w:ascii="Calibri" w:hAnsi="Calibri" w:eastAsia="宋体" w:cs="Times New Roman"/>
                <w:b w:val="0"/>
                <w:bCs w:val="0"/>
                <w:kern w:val="2"/>
                <w:sz w:val="21"/>
                <w:szCs w:val="24"/>
                <w:lang w:val="en-US" w:eastAsia="zh-CN" w:bidi="ar-SA"/>
              </w:rPr>
              <w:t>……………………………………………………（24）</w:t>
            </w:r>
          </w:p>
          <w:p>
            <w:pPr>
              <w:pStyle w:val="7"/>
              <w:keepNext w:val="0"/>
              <w:keepLines w:val="0"/>
              <w:widowControl/>
              <w:shd w:val="clear" w:color="auto" w:fill="FFFFFF"/>
              <w:spacing w:before="0" w:after="0" w:line="560" w:lineRule="exact"/>
              <w:rPr>
                <w:rFonts w:hint="eastAsia"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29</w:t>
            </w:r>
            <w:r>
              <w:rPr>
                <w:rFonts w:hint="eastAsia" w:ascii="Calibri" w:hAnsi="Calibri" w:eastAsia="宋体" w:cs="Times New Roman"/>
                <w:b w:val="0"/>
                <w:bCs w:val="0"/>
                <w:kern w:val="2"/>
                <w:sz w:val="21"/>
                <w:szCs w:val="24"/>
              </w:rPr>
              <w:t xml:space="preserve">次常务会议 </w:t>
            </w:r>
          </w:p>
          <w:p>
            <w:pPr>
              <w:rPr>
                <w:rFonts w:hint="eastAsia"/>
              </w:rPr>
            </w:pPr>
            <w:r>
              <w:rPr>
                <w:rFonts w:hint="eastAsia"/>
              </w:rPr>
              <w:t>……………………………………………………（</w:t>
            </w:r>
            <w:r>
              <w:rPr>
                <w:rFonts w:hint="eastAsia"/>
                <w:lang w:val="en-US" w:eastAsia="zh-CN"/>
              </w:rPr>
              <w:t>27</w:t>
            </w:r>
            <w:r>
              <w:rPr>
                <w:rFonts w:hint="eastAsia"/>
              </w:rPr>
              <w:t>）</w:t>
            </w:r>
          </w:p>
          <w:p>
            <w:pPr>
              <w:pStyle w:val="7"/>
              <w:keepNext w:val="0"/>
              <w:keepLines w:val="0"/>
              <w:widowControl/>
              <w:shd w:val="clear" w:color="auto" w:fill="FFFFFF"/>
              <w:spacing w:before="0" w:after="0" w:line="560" w:lineRule="exact"/>
              <w:rPr>
                <w:rFonts w:hint="eastAsia"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30</w:t>
            </w:r>
            <w:r>
              <w:rPr>
                <w:rFonts w:hint="eastAsia" w:ascii="Calibri" w:hAnsi="Calibri" w:eastAsia="宋体" w:cs="Times New Roman"/>
                <w:b w:val="0"/>
                <w:bCs w:val="0"/>
                <w:kern w:val="2"/>
                <w:sz w:val="21"/>
                <w:szCs w:val="24"/>
              </w:rPr>
              <w:t xml:space="preserve">次常务会议 </w:t>
            </w:r>
          </w:p>
          <w:p>
            <w:pPr>
              <w:pStyle w:val="7"/>
              <w:keepNext w:val="0"/>
              <w:keepLines w:val="0"/>
              <w:widowControl/>
              <w:shd w:val="clear" w:color="auto" w:fill="FFFFFF"/>
              <w:spacing w:before="0" w:after="0" w:line="560" w:lineRule="exact"/>
            </w:pPr>
            <w:r>
              <w:rPr>
                <w:rFonts w:hint="eastAsia" w:ascii="Calibri" w:hAnsi="Calibri" w:eastAsia="宋体" w:cs="Times New Roman"/>
                <w:b w:val="0"/>
                <w:bCs w:val="0"/>
                <w:kern w:val="2"/>
                <w:sz w:val="21"/>
                <w:szCs w:val="24"/>
              </w:rPr>
              <w:t>……………………………………………………（</w:t>
            </w:r>
            <w:r>
              <w:rPr>
                <w:rFonts w:hint="eastAsia" w:ascii="Calibri" w:hAnsi="Calibri" w:eastAsia="宋体" w:cs="Times New Roman"/>
                <w:b w:val="0"/>
                <w:bCs w:val="0"/>
                <w:kern w:val="2"/>
                <w:sz w:val="21"/>
                <w:szCs w:val="24"/>
                <w:lang w:val="en-US" w:eastAsia="zh-CN"/>
              </w:rPr>
              <w:t>29</w:t>
            </w:r>
            <w:r>
              <w:rPr>
                <w:rFonts w:hint="eastAsia" w:ascii="Calibri" w:hAnsi="Calibri" w:eastAsia="宋体" w:cs="Times New Roman"/>
                <w:b w:val="0"/>
                <w:bCs w:val="0"/>
                <w:kern w:val="2"/>
                <w:sz w:val="21"/>
                <w:szCs w:val="24"/>
              </w:rPr>
              <w:t>）</w:t>
            </w:r>
          </w:p>
        </w:tc>
      </w:tr>
    </w:tbl>
    <w:p>
      <w:pPr>
        <w:spacing w:line="240" w:lineRule="exact"/>
        <w:rPr>
          <w:rFonts w:ascii="Times New Roman" w:hAnsi="Times New Roman" w:eastAsia="微软雅黑"/>
          <w:color w:val="000000"/>
          <w:szCs w:val="21"/>
        </w:rPr>
      </w:pPr>
      <w:r>
        <w:rPr>
          <w:rFonts w:ascii="Times New Roman" w:hAnsi="Times New Roman" w:eastAsia="方正黑体_GBK"/>
          <w:color w:val="000000"/>
        </w:rPr>
        <w:pict>
          <v:shape id="_x0000_s1027" o:spid="_x0000_s1027" o:spt="202" type="#_x0000_t202" style="position:absolute;left:0pt;margin-left:-4.3pt;margin-top:2.15pt;height:567.85pt;width:171.95pt;z-index:251662336;mso-width-relative:page;mso-height-relative:page;"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path/>
            <v:fill focussize="0,0"/>
            <v:stroke weight="0.5pt" color="#FFFFFF" joinstyle="round"/>
            <v:imagedata o:title=""/>
            <o:lock v:ext="edit"/>
            <v:textbo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胡招龙</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程国锦  </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3"/>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3"/>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w: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pStyle w:val="26"/>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r>
        <w:rPr>
          <w:rFonts w:hint="eastAsia" w:ascii="方正小标宋简体" w:hAnsi="方正小标宋简体" w:eastAsia="方正小标宋简体" w:cs="方正小标宋简体"/>
          <w:sz w:val="44"/>
          <w:szCs w:val="52"/>
          <w:lang w:eastAsia="zh-CN"/>
        </w:rPr>
        <w:t>昌江区政</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昌江区人民政府办公室</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关于印发《昌江区提升农业产业化发展水平三年行动方案（2023-2025年）》的通知</w:t>
      </w:r>
    </w:p>
    <w:p>
      <w:pPr>
        <w:pStyle w:val="5"/>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各乡（镇）人民政府、街道办事处，</w:t>
      </w:r>
      <w:r>
        <w:rPr>
          <w:rFonts w:hint="eastAsia" w:ascii="仿宋" w:hAnsi="仿宋" w:eastAsia="仿宋" w:cs="仿宋_GB2312"/>
          <w:color w:val="auto"/>
          <w:sz w:val="32"/>
          <w:szCs w:val="32"/>
        </w:rPr>
        <w:t>区</w:t>
      </w:r>
      <w:r>
        <w:rPr>
          <w:rFonts w:hint="eastAsia" w:ascii="仿宋" w:hAnsi="仿宋" w:eastAsia="仿宋" w:cs="仿宋_GB2312"/>
          <w:color w:val="auto"/>
          <w:sz w:val="32"/>
          <w:szCs w:val="32"/>
          <w:lang w:val="en-US" w:eastAsia="zh-CN"/>
        </w:rPr>
        <w:t>直有关单位：</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Style w:val="24"/>
          <w:rFonts w:hint="eastAsia" w:ascii="仿宋" w:hAnsi="仿宋" w:eastAsia="仿宋" w:cs="仿宋_GB2312"/>
          <w:color w:val="auto"/>
          <w:sz w:val="32"/>
          <w:szCs w:val="32"/>
          <w:u w:val="none"/>
          <w:lang w:val="en-US" w:eastAsia="zh-CN"/>
        </w:rPr>
      </w:pPr>
      <w:r>
        <w:rPr>
          <w:rStyle w:val="24"/>
          <w:rFonts w:hint="eastAsia" w:ascii="仿宋" w:hAnsi="仿宋" w:eastAsia="仿宋" w:cs="仿宋_GB2312"/>
          <w:color w:val="auto"/>
          <w:sz w:val="32"/>
          <w:szCs w:val="32"/>
          <w:u w:val="none"/>
        </w:rPr>
        <w:t>《昌江区提升农业产业化发展水平三年行动方</w:t>
      </w:r>
      <w:r>
        <w:rPr>
          <w:rStyle w:val="24"/>
          <w:rFonts w:hint="eastAsia" w:ascii="仿宋" w:hAnsi="仿宋" w:eastAsia="仿宋" w:cs="仿宋_GB2312"/>
          <w:color w:val="auto"/>
          <w:sz w:val="32"/>
          <w:szCs w:val="32"/>
          <w:u w:val="none"/>
          <w:lang w:val="en-US" w:eastAsia="zh-CN"/>
        </w:rPr>
        <w:t>案（</w:t>
      </w:r>
      <w:r>
        <w:rPr>
          <w:rStyle w:val="24"/>
          <w:rFonts w:hint="eastAsia" w:ascii="仿宋" w:hAnsi="仿宋" w:eastAsia="仿宋" w:cs="仿宋_GB2312"/>
          <w:color w:val="auto"/>
          <w:sz w:val="32"/>
          <w:szCs w:val="32"/>
          <w:u w:val="none"/>
        </w:rPr>
        <w:t>2023-2025年</w:t>
      </w:r>
      <w:r>
        <w:rPr>
          <w:rStyle w:val="24"/>
          <w:rFonts w:hint="eastAsia" w:ascii="仿宋" w:hAnsi="仿宋" w:eastAsia="仿宋" w:cs="仿宋_GB2312"/>
          <w:color w:val="auto"/>
          <w:sz w:val="32"/>
          <w:szCs w:val="32"/>
          <w:u w:val="none"/>
          <w:lang w:eastAsia="zh-CN"/>
        </w:rPr>
        <w:t>）》</w:t>
      </w:r>
      <w:r>
        <w:rPr>
          <w:rStyle w:val="24"/>
          <w:rFonts w:hint="eastAsia" w:ascii="仿宋" w:hAnsi="仿宋" w:eastAsia="仿宋" w:cs="仿宋_GB2312"/>
          <w:color w:val="auto"/>
          <w:sz w:val="32"/>
          <w:szCs w:val="32"/>
          <w:u w:val="none"/>
          <w:lang w:val="en-US" w:eastAsia="zh-CN"/>
        </w:rPr>
        <w:t>已经区政府研究同意，现印发给你们，请结合实际，认真贯彻执行。</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Style w:val="24"/>
          <w:rFonts w:hint="eastAsia" w:ascii="仿宋" w:hAnsi="仿宋" w:eastAsia="仿宋" w:cs="仿宋_GB2312"/>
          <w:color w:val="auto"/>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Style w:val="24"/>
          <w:rFonts w:hint="eastAsia" w:ascii="仿宋" w:hAnsi="仿宋" w:eastAsia="仿宋" w:cs="仿宋_GB2312"/>
          <w:color w:val="auto"/>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right"/>
        <w:textAlignment w:val="auto"/>
        <w:rPr>
          <w:rStyle w:val="24"/>
          <w:rFonts w:hint="eastAsia" w:ascii="仿宋" w:hAnsi="仿宋" w:eastAsia="仿宋" w:cs="仿宋_GB2312"/>
          <w:color w:val="auto"/>
          <w:sz w:val="32"/>
          <w:szCs w:val="32"/>
          <w:u w:val="none"/>
          <w:lang w:val="en-US" w:eastAsia="zh-CN"/>
        </w:rPr>
      </w:pPr>
      <w:r>
        <w:rPr>
          <w:rStyle w:val="24"/>
          <w:rFonts w:hint="eastAsia" w:ascii="仿宋" w:hAnsi="仿宋" w:eastAsia="仿宋" w:cs="仿宋_GB2312"/>
          <w:color w:val="auto"/>
          <w:sz w:val="32"/>
          <w:szCs w:val="32"/>
          <w:u w:val="none"/>
          <w:lang w:val="en-US" w:eastAsia="zh-CN"/>
        </w:rPr>
        <w:t>昌江区人民政府办公室</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jc w:val="left"/>
        <w:textAlignment w:val="auto"/>
        <w:rPr>
          <w:rStyle w:val="24"/>
          <w:rFonts w:hint="default" w:ascii="仿宋" w:hAnsi="仿宋" w:eastAsia="仿宋" w:cs="仿宋_GB2312"/>
          <w:color w:val="auto"/>
          <w:sz w:val="32"/>
          <w:szCs w:val="32"/>
          <w:u w:val="none"/>
          <w:lang w:val="en-US" w:eastAsia="zh-CN"/>
        </w:rPr>
        <w:sectPr>
          <w:footerReference r:id="rId18" w:type="default"/>
          <w:footerReference r:id="rId19" w:type="even"/>
          <w:pgSz w:w="11906" w:h="16838"/>
          <w:pgMar w:top="1440" w:right="1800" w:bottom="1440" w:left="1800" w:header="851" w:footer="992" w:gutter="0"/>
          <w:pgNumType w:fmt="decimal" w:start="1"/>
          <w:cols w:space="425" w:num="1"/>
          <w:docGrid w:type="lines" w:linePitch="312" w:charSpace="0"/>
        </w:sectPr>
      </w:pPr>
      <w:r>
        <w:rPr>
          <w:rStyle w:val="24"/>
          <w:rFonts w:hint="eastAsia" w:ascii="仿宋" w:hAnsi="仿宋" w:eastAsia="仿宋" w:cs="仿宋_GB2312"/>
          <w:color w:val="auto"/>
          <w:sz w:val="32"/>
          <w:szCs w:val="32"/>
          <w:u w:val="none"/>
          <w:lang w:val="en-US" w:eastAsia="zh-CN"/>
        </w:rPr>
        <w:t>2023年6月29日</w:t>
      </w:r>
    </w:p>
    <w:p>
      <w:pPr>
        <w:pStyle w:val="15"/>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昌江区提升农业产业化发展水平三年行动方案（2023-2025年）</w:t>
      </w:r>
    </w:p>
    <w:p>
      <w:pPr>
        <w:snapToGrid w:val="0"/>
        <w:spacing w:line="600" w:lineRule="exact"/>
        <w:ind w:firstLine="640" w:firstLineChars="200"/>
        <w:textAlignment w:val="baseline"/>
        <w:rPr>
          <w:rFonts w:hint="eastAsia" w:ascii="仿宋" w:hAnsi="仿宋" w:eastAsia="仿宋" w:cs="仿宋_GB2312"/>
          <w:color w:val="auto"/>
          <w:sz w:val="32"/>
          <w:szCs w:val="32"/>
          <w:highlight w:val="none"/>
        </w:rPr>
      </w:pP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baseline"/>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为深入贯彻落实习近平总书记关于“三农”工作重要论述和</w:t>
      </w:r>
    </w:p>
    <w:p>
      <w:pPr>
        <w:keepNext w:val="0"/>
        <w:keepLines w:val="0"/>
        <w:pageBreakBefore w:val="0"/>
        <w:kinsoku/>
        <w:wordWrap/>
        <w:overflowPunct/>
        <w:topLinePunct w:val="0"/>
        <w:autoSpaceDE/>
        <w:autoSpaceDN/>
        <w:bidi w:val="0"/>
        <w:adjustRightInd/>
        <w:snapToGrid w:val="0"/>
        <w:spacing w:line="600" w:lineRule="exact"/>
        <w:textAlignment w:val="baseline"/>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视察江西重要讲话精神，推动农业产业化水平提档升级，提高农业质量效益和竞争力，促进乡村产业振兴。根据《江西省农业七大产业高质量发展三年行动方案（2023-2025年）》和《景德镇市农业产业发展提升三年行动方案（2023-2025年）（征求意见稿）》要求，结合我区实际，制定本行动方案。</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baseline"/>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一、指导思想</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baseline"/>
        <w:rPr>
          <w:rFonts w:ascii="仿宋" w:hAnsi="仿宋" w:eastAsia="仿宋" w:cs="仿宋_GB2312"/>
          <w:color w:val="auto"/>
          <w:sz w:val="32"/>
          <w:szCs w:val="32"/>
          <w:highlight w:val="none"/>
          <w:lang w:val="zh-CN"/>
        </w:rPr>
      </w:pPr>
      <w:r>
        <w:rPr>
          <w:rFonts w:hint="eastAsia" w:ascii="仿宋" w:hAnsi="仿宋" w:eastAsia="仿宋" w:cs="仿宋_GB2312"/>
          <w:color w:val="auto"/>
          <w:sz w:val="32"/>
          <w:szCs w:val="32"/>
          <w:highlight w:val="none"/>
        </w:rPr>
        <w:t>坚持以习近平新时代中国特色社会主义思想为指导，深入贯彻党的二十大精神，全面落实习近平总书记关于“三农”工作重要论述和视察江西重要讲话精神，深入贯彻落实上级各项决策部署。立足新发展阶段，贯彻新发展理念，融入新发展格局，落实高质量发展要求。坚持以政府为引导，以市场来运作，以龙头来带动，以一二三产业融合发展为路径，以高质量发展为主题，全链发展、生态优先。聚焦农业增效、农民增收两大目标，进一步优化农业产业空间布局，构建以果蔬种植、畜禽养殖、中药材产业为特色的产业体系。推动农业产业向特色化、绿色化、品牌化、集群化发展。不断提升品牌竞争力和影响力，促进乡村产业高质量发展。</w:t>
      </w:r>
    </w:p>
    <w:p>
      <w:pPr>
        <w:keepNext w:val="0"/>
        <w:keepLines w:val="0"/>
        <w:pageBreakBefore w:val="0"/>
        <w:numPr>
          <w:ilvl w:val="0"/>
          <w:numId w:val="1"/>
        </w:numPr>
        <w:kinsoku/>
        <w:wordWrap/>
        <w:overflowPunct/>
        <w:topLinePunct w:val="0"/>
        <w:autoSpaceDE/>
        <w:autoSpaceDN/>
        <w:bidi w:val="0"/>
        <w:adjustRightInd/>
        <w:snapToGrid w:val="0"/>
        <w:spacing w:line="600" w:lineRule="exact"/>
        <w:ind w:firstLine="640" w:firstLineChars="200"/>
        <w:textAlignment w:val="baseline"/>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行动目标</w:t>
      </w:r>
    </w:p>
    <w:p>
      <w:pPr>
        <w:pStyle w:val="15"/>
        <w:keepNext w:val="0"/>
        <w:keepLines w:val="0"/>
        <w:pageBreakBefore w:val="0"/>
        <w:kinsoku/>
        <w:wordWrap/>
        <w:overflowPunct/>
        <w:topLinePunct w:val="0"/>
        <w:autoSpaceDE/>
        <w:autoSpaceDN/>
        <w:bidi w:val="0"/>
        <w:adjustRightInd/>
        <w:spacing w:line="600" w:lineRule="exact"/>
        <w:ind w:left="0" w:leftChars="0"/>
        <w:rPr>
          <w:rFonts w:ascii="仿宋" w:hAnsi="仿宋" w:eastAsia="仿宋" w:cs="仿宋_GB2312"/>
          <w:color w:val="auto"/>
          <w:sz w:val="32"/>
          <w:szCs w:val="32"/>
          <w:highlight w:val="none"/>
        </w:rPr>
      </w:pPr>
      <w:r>
        <w:rPr>
          <w:rFonts w:hint="eastAsia" w:ascii="仿宋" w:hAnsi="仿宋" w:eastAsia="仿宋"/>
          <w:color w:val="auto"/>
          <w:sz w:val="32"/>
          <w:szCs w:val="32"/>
          <w:highlight w:val="none"/>
        </w:rPr>
        <w:t xml:space="preserve">    </w:t>
      </w:r>
      <w:r>
        <w:rPr>
          <w:rFonts w:hint="eastAsia" w:ascii="仿宋" w:hAnsi="仿宋" w:eastAsia="仿宋" w:cs="仿宋_GB2312"/>
          <w:color w:val="auto"/>
          <w:sz w:val="32"/>
          <w:szCs w:val="32"/>
          <w:highlight w:val="none"/>
        </w:rPr>
        <w:t>通过三年集中行动，实现全区农业产业工作“一年打基础、两年见成效、三年大提升”。</w:t>
      </w:r>
    </w:p>
    <w:p>
      <w:pPr>
        <w:pStyle w:val="4"/>
        <w:keepNext w:val="0"/>
        <w:keepLines w:val="0"/>
        <w:pageBreakBefore w:val="0"/>
        <w:kinsoku/>
        <w:wordWrap/>
        <w:overflowPunct/>
        <w:topLinePunct w:val="0"/>
        <w:autoSpaceDE/>
        <w:autoSpaceDN/>
        <w:bidi w:val="0"/>
        <w:adjustRightInd/>
        <w:snapToGrid w:val="0"/>
        <w:spacing w:after="0" w:line="600" w:lineRule="exact"/>
        <w:ind w:firstLine="640" w:firstLineChars="200"/>
        <w:rPr>
          <w:rFonts w:ascii="仿宋" w:hAnsi="仿宋" w:eastAsia="仿宋" w:cs="仿宋_GB2312"/>
          <w:color w:val="auto"/>
          <w:sz w:val="32"/>
          <w:szCs w:val="32"/>
          <w:highlight w:val="none"/>
        </w:rPr>
      </w:pPr>
      <w:r>
        <w:rPr>
          <w:rFonts w:hint="eastAsia" w:ascii="楷体" w:hAnsi="楷体" w:eastAsia="楷体" w:cs="楷体"/>
          <w:b/>
          <w:bCs/>
          <w:color w:val="auto"/>
          <w:sz w:val="32"/>
          <w:szCs w:val="32"/>
          <w:highlight w:val="none"/>
          <w:lang w:val="zh-CN"/>
        </w:rPr>
        <w:t>——果蔬产业。</w:t>
      </w:r>
      <w:r>
        <w:rPr>
          <w:rFonts w:hint="eastAsia" w:ascii="仿宋" w:hAnsi="仿宋" w:eastAsia="仿宋" w:cs="仿宋_GB2312"/>
          <w:color w:val="auto"/>
          <w:sz w:val="32"/>
          <w:szCs w:val="32"/>
          <w:highlight w:val="none"/>
        </w:rPr>
        <w:t>实施菜蓝子工程,保护万亩蔬菜基地,提高蔬菜复种指数引进良种良法,确保“三年行动方案”实施期间每年蔬菜播种面稳定在1.5万亩,其中绿色精品蔬菜1万亩,总产每年增长2%,2025年达12万吨。并新建0.5万亩高标准连栋蔬菜大棚。</w:t>
      </w:r>
    </w:p>
    <w:p>
      <w:pPr>
        <w:pStyle w:val="4"/>
        <w:keepNext w:val="0"/>
        <w:keepLines w:val="0"/>
        <w:pageBreakBefore w:val="0"/>
        <w:kinsoku/>
        <w:wordWrap/>
        <w:overflowPunct/>
        <w:topLinePunct w:val="0"/>
        <w:autoSpaceDE/>
        <w:autoSpaceDN/>
        <w:bidi w:val="0"/>
        <w:adjustRightInd/>
        <w:snapToGrid w:val="0"/>
        <w:spacing w:after="0" w:line="600"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zh-CN"/>
        </w:rPr>
        <w:t>重点围绕富硒蔬菜产业集群化发展，提升传统产区，培植新兴产区，挖掘潜力产区，持续推进蔬菜产业振兴计划。</w:t>
      </w:r>
      <w:r>
        <w:rPr>
          <w:rFonts w:hint="eastAsia" w:ascii="仿宋" w:hAnsi="仿宋" w:eastAsia="仿宋" w:cs="仿宋"/>
          <w:sz w:val="32"/>
          <w:szCs w:val="32"/>
          <w:highlight w:val="none"/>
          <w:lang w:val="en-US" w:eastAsia="zh-CN"/>
        </w:rPr>
        <w:t>紧抓与中国农科院西部中心合作契机，充分利用其良种优势，技术人才优势，大力发展水果型蔬菜，提升亩产产值。形成特色品牌。</w:t>
      </w:r>
      <w:r>
        <w:rPr>
          <w:rFonts w:hint="eastAsia" w:ascii="仿宋" w:hAnsi="仿宋" w:eastAsia="仿宋" w:cs="仿宋_GB2312"/>
          <w:color w:val="auto"/>
          <w:sz w:val="32"/>
          <w:szCs w:val="32"/>
          <w:highlight w:val="none"/>
          <w:lang w:val="zh-CN"/>
        </w:rPr>
        <w:t>加快果蔬菜适销品种培育、复壮和引进，</w:t>
      </w:r>
      <w:r>
        <w:rPr>
          <w:rFonts w:hint="eastAsia" w:ascii="仿宋" w:hAnsi="仿宋" w:eastAsia="仿宋" w:cs="仿宋_GB2312"/>
          <w:color w:val="auto"/>
          <w:sz w:val="32"/>
          <w:szCs w:val="32"/>
          <w:highlight w:val="none"/>
        </w:rPr>
        <w:t>拓展果蔬深度加工，</w:t>
      </w:r>
      <w:r>
        <w:rPr>
          <w:rFonts w:hint="eastAsia" w:ascii="仿宋" w:hAnsi="仿宋" w:eastAsia="仿宋" w:cs="仿宋_GB2312"/>
          <w:color w:val="auto"/>
          <w:sz w:val="32"/>
          <w:szCs w:val="32"/>
          <w:highlight w:val="none"/>
          <w:lang w:val="zh-CN"/>
        </w:rPr>
        <w:t>培育产业发展新动能，创建一批果蔬品牌，</w:t>
      </w:r>
      <w:r>
        <w:rPr>
          <w:rFonts w:hint="eastAsia" w:ascii="仿宋" w:hAnsi="仿宋" w:eastAsia="仿宋" w:cs="仿宋_GB2312"/>
          <w:color w:val="auto"/>
          <w:sz w:val="32"/>
          <w:szCs w:val="32"/>
          <w:highlight w:val="none"/>
        </w:rPr>
        <w:t>打造一批果蔬产加销一体化企业</w:t>
      </w:r>
      <w:r>
        <w:rPr>
          <w:rFonts w:hint="eastAsia" w:ascii="仿宋" w:hAnsi="仿宋" w:eastAsia="仿宋" w:cs="仿宋_GB2312"/>
          <w:color w:val="auto"/>
          <w:sz w:val="32"/>
          <w:szCs w:val="32"/>
          <w:highlight w:val="none"/>
          <w:lang w:val="zh-CN"/>
        </w:rPr>
        <w:t>。</w:t>
      </w:r>
      <w:r>
        <w:rPr>
          <w:rFonts w:hint="eastAsia" w:ascii="仿宋" w:hAnsi="仿宋" w:eastAsia="仿宋" w:cs="仿宋_GB2312"/>
          <w:color w:val="auto"/>
          <w:sz w:val="32"/>
          <w:szCs w:val="32"/>
          <w:highlight w:val="none"/>
        </w:rPr>
        <w:t>力争到2025年三年综合产值突破3亿元，培育</w:t>
      </w:r>
      <w:r>
        <w:rPr>
          <w:rFonts w:hint="eastAsia" w:ascii="仿宋" w:hAnsi="仿宋" w:eastAsia="仿宋" w:cs="仿宋_GB2312"/>
          <w:color w:val="auto"/>
          <w:kern w:val="0"/>
          <w:sz w:val="32"/>
          <w:szCs w:val="32"/>
          <w:highlight w:val="none"/>
        </w:rPr>
        <w:t>超亿元龙头企业1家</w:t>
      </w:r>
      <w:r>
        <w:rPr>
          <w:rFonts w:hint="eastAsia" w:ascii="仿宋" w:hAnsi="仿宋" w:eastAsia="仿宋" w:cs="仿宋_GB2312"/>
          <w:color w:val="auto"/>
          <w:sz w:val="32"/>
          <w:szCs w:val="32"/>
          <w:highlight w:val="none"/>
        </w:rPr>
        <w:t>。</w:t>
      </w:r>
    </w:p>
    <w:p>
      <w:pPr>
        <w:pStyle w:val="4"/>
        <w:keepNext w:val="0"/>
        <w:keepLines w:val="0"/>
        <w:pageBreakBefore w:val="0"/>
        <w:kinsoku/>
        <w:wordWrap/>
        <w:overflowPunct/>
        <w:topLinePunct w:val="0"/>
        <w:autoSpaceDE/>
        <w:autoSpaceDN/>
        <w:bidi w:val="0"/>
        <w:adjustRightInd/>
        <w:snapToGrid w:val="0"/>
        <w:spacing w:after="0" w:line="600" w:lineRule="exact"/>
        <w:ind w:firstLine="640" w:firstLineChars="200"/>
        <w:rPr>
          <w:rFonts w:ascii="仿宋" w:hAnsi="仿宋" w:eastAsia="仿宋" w:cs="仿宋_GB2312"/>
          <w:color w:val="auto"/>
          <w:sz w:val="32"/>
          <w:szCs w:val="32"/>
          <w:highlight w:val="none"/>
        </w:rPr>
      </w:pPr>
      <w:r>
        <w:rPr>
          <w:rFonts w:hint="eastAsia" w:ascii="楷体" w:hAnsi="楷体" w:eastAsia="楷体" w:cs="楷体"/>
          <w:b/>
          <w:bCs/>
          <w:color w:val="auto"/>
          <w:sz w:val="32"/>
          <w:szCs w:val="32"/>
          <w:highlight w:val="none"/>
          <w:lang w:val="zh-CN"/>
        </w:rPr>
        <w:t>——畜牧产业。</w:t>
      </w:r>
      <w:r>
        <w:rPr>
          <w:rFonts w:hint="eastAsia" w:ascii="仿宋" w:hAnsi="仿宋" w:eastAsia="仿宋" w:cs="仿宋_GB2312"/>
          <w:color w:val="auto"/>
          <w:sz w:val="32"/>
          <w:szCs w:val="32"/>
          <w:highlight w:val="none"/>
        </w:rPr>
        <w:t>按照强生猪、扩牛羊、兴家禽路径。做强生猪规模化养殖，到2025年全区畜禽规模养殖比重在现有基础上再提高8个百分点,其中标准化规模养殖比重占规模养殖场的70%,标准化规模养殖场的排泄物全部实现达标排放和资源化利用。扩大牛羊养殖，建设1个高标准养殖场,到2025年增加养殖大户5家,到2025年。肉牛年出栏达到0.5万头、年末存栏能繁母牛达到0.5万头。发展家禽养殖。全面提升绿色养殖水平，促进农牧循环发展，提升畜禽屠宰加工业，打造家禽产品知名品牌。蛋鸡产业将以“稳供给、创绿色、保安全、增效益”为原则,推动全区产业链一体化发展。到2025年禽蛋产量达70万个标准箱,年增长率达到5%。力争到2025年畜牧产业三年综合产值突破10亿元，培育超亿元龙头企业1家。</w:t>
      </w:r>
    </w:p>
    <w:p>
      <w:pPr>
        <w:pStyle w:val="4"/>
        <w:keepNext w:val="0"/>
        <w:keepLines w:val="0"/>
        <w:pageBreakBefore w:val="0"/>
        <w:kinsoku/>
        <w:wordWrap/>
        <w:overflowPunct/>
        <w:topLinePunct w:val="0"/>
        <w:autoSpaceDE/>
        <w:autoSpaceDN/>
        <w:bidi w:val="0"/>
        <w:adjustRightInd/>
        <w:snapToGrid w:val="0"/>
        <w:spacing w:after="0" w:line="600" w:lineRule="exact"/>
        <w:ind w:firstLine="640" w:firstLineChars="200"/>
        <w:rPr>
          <w:rFonts w:ascii="仿宋" w:hAnsi="仿宋" w:eastAsia="仿宋" w:cs="仿宋_GB2312"/>
          <w:color w:val="auto"/>
          <w:sz w:val="32"/>
          <w:szCs w:val="32"/>
          <w:highlight w:val="none"/>
        </w:rPr>
      </w:pPr>
      <w:r>
        <w:rPr>
          <w:rFonts w:hint="eastAsia" w:ascii="楷体" w:hAnsi="楷体" w:eastAsia="楷体" w:cs="楷体"/>
          <w:b/>
          <w:bCs/>
          <w:color w:val="auto"/>
          <w:sz w:val="32"/>
          <w:szCs w:val="32"/>
          <w:highlight w:val="none"/>
          <w:lang w:val="zh-CN"/>
        </w:rPr>
        <w:t>——中药材产业。</w:t>
      </w:r>
      <w:r>
        <w:rPr>
          <w:rFonts w:hint="eastAsia" w:ascii="仿宋" w:hAnsi="仿宋" w:eastAsia="仿宋" w:cs="仿宋_GB2312"/>
          <w:color w:val="auto"/>
          <w:sz w:val="32"/>
          <w:szCs w:val="32"/>
          <w:highlight w:val="none"/>
          <w:lang w:val="zh-CN"/>
        </w:rPr>
        <w:t>以组织化、专业化为重点，支持区内外制药、饮片和流通企业发展订单、合作基地，带动中药材种植、采收、加工、储运等全过程标准化。</w:t>
      </w:r>
      <w:r>
        <w:rPr>
          <w:rFonts w:hint="eastAsia" w:ascii="仿宋" w:hAnsi="仿宋" w:eastAsia="仿宋" w:cs="仿宋_GB2312"/>
          <w:color w:val="auto"/>
          <w:sz w:val="32"/>
          <w:szCs w:val="32"/>
          <w:highlight w:val="none"/>
        </w:rPr>
        <w:t>加大道地中药材和药食同源中药材基地建设及中药饮片加工开发力度，构建特色中药材种植产业集群。推行中药材订单生产，建设规范化、标准化种植基地，培育中药材大品牌。</w:t>
      </w:r>
      <w:r>
        <w:rPr>
          <w:rFonts w:hint="eastAsia" w:ascii="仿宋" w:hAnsi="仿宋" w:eastAsia="仿宋" w:cs="仿宋_GB2312"/>
          <w:color w:val="auto"/>
          <w:kern w:val="0"/>
          <w:sz w:val="32"/>
          <w:szCs w:val="32"/>
          <w:highlight w:val="none"/>
        </w:rPr>
        <w:t>力争</w:t>
      </w:r>
      <w:r>
        <w:rPr>
          <w:rFonts w:hint="eastAsia" w:ascii="仿宋" w:hAnsi="仿宋" w:eastAsia="仿宋" w:cs="仿宋_GB2312"/>
          <w:color w:val="auto"/>
          <w:sz w:val="32"/>
          <w:szCs w:val="32"/>
          <w:highlight w:val="none"/>
        </w:rPr>
        <w:t>到2025年</w:t>
      </w:r>
      <w:r>
        <w:rPr>
          <w:rFonts w:hint="eastAsia" w:ascii="仿宋" w:hAnsi="仿宋" w:eastAsia="仿宋" w:cs="仿宋_GB2312"/>
          <w:color w:val="auto"/>
          <w:kern w:val="0"/>
          <w:sz w:val="32"/>
          <w:szCs w:val="32"/>
          <w:highlight w:val="none"/>
        </w:rPr>
        <w:t>三年综合产值突破2000万元</w:t>
      </w:r>
      <w:r>
        <w:rPr>
          <w:rFonts w:hint="eastAsia" w:ascii="仿宋" w:hAnsi="仿宋" w:eastAsia="仿宋" w:cs="仿宋_GB2312"/>
          <w:color w:val="auto"/>
          <w:sz w:val="32"/>
          <w:szCs w:val="32"/>
          <w:highlight w:val="none"/>
        </w:rPr>
        <w:t>，培育</w:t>
      </w:r>
      <w:r>
        <w:rPr>
          <w:rFonts w:hint="eastAsia" w:ascii="仿宋" w:hAnsi="仿宋" w:eastAsia="仿宋" w:cs="仿宋_GB2312"/>
          <w:color w:val="auto"/>
          <w:kern w:val="0"/>
          <w:sz w:val="32"/>
          <w:szCs w:val="32"/>
          <w:highlight w:val="none"/>
        </w:rPr>
        <w:t>超亿元龙头企业1家。</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三、重点任务</w:t>
      </w:r>
    </w:p>
    <w:p>
      <w:pPr>
        <w:pStyle w:val="4"/>
        <w:keepNext w:val="0"/>
        <w:keepLines w:val="0"/>
        <w:pageBreakBefore w:val="0"/>
        <w:kinsoku/>
        <w:wordWrap/>
        <w:overflowPunct/>
        <w:topLinePunct w:val="0"/>
        <w:autoSpaceDE/>
        <w:autoSpaceDN/>
        <w:bidi w:val="0"/>
        <w:adjustRightInd/>
        <w:snapToGrid w:val="0"/>
        <w:spacing w:after="0" w:line="600" w:lineRule="exact"/>
        <w:ind w:firstLine="640" w:firstLineChars="200"/>
        <w:rPr>
          <w:rFonts w:hint="default" w:ascii="仿宋" w:hAnsi="仿宋" w:eastAsia="仿宋" w:cs="仿宋"/>
          <w:b/>
          <w:bCs/>
          <w:color w:val="auto"/>
          <w:sz w:val="32"/>
          <w:szCs w:val="32"/>
          <w:highlight w:val="none"/>
          <w:lang w:val="en-US" w:eastAsia="zh-CN"/>
        </w:rPr>
      </w:pPr>
      <w:r>
        <w:rPr>
          <w:rFonts w:hint="eastAsia" w:ascii="楷体" w:hAnsi="楷体" w:eastAsia="楷体" w:cs="楷体"/>
          <w:b/>
          <w:bCs/>
          <w:color w:val="auto"/>
          <w:sz w:val="32"/>
          <w:szCs w:val="32"/>
          <w:highlight w:val="none"/>
          <w:lang w:val="zh-CN"/>
        </w:rPr>
        <w:t>1.产业化育龙头。</w:t>
      </w:r>
      <w:r>
        <w:rPr>
          <w:rFonts w:hint="eastAsia" w:ascii="仿宋" w:hAnsi="仿宋" w:eastAsia="仿宋" w:cs="仿宋"/>
          <w:color w:val="auto"/>
          <w:sz w:val="32"/>
          <w:szCs w:val="32"/>
          <w:highlight w:val="none"/>
        </w:rPr>
        <w:t>加快农业产业化龙头企业梯次发展，培育壮大一批链主型龙头企业，推动国家级、省级、市级龙头企业三级联创，实行动态管理。创建农业产业化市级示范联合体，构建权责明确、利益联结的组织机制。落实绿色食品产业链企业税费优惠等扶持政策，发挥财政产业化项目资金效益，支持一批龙头企业扩规、技改、延链。到2025年，超10亿的农业产业化龙头企业总数达到2家，省级龙头企业数量达到3家以上，市级龙头企业达到23家以上。</w:t>
      </w:r>
      <w:r>
        <w:rPr>
          <w:rFonts w:hint="eastAsia" w:ascii="仿宋" w:hAnsi="仿宋" w:eastAsia="仿宋" w:cs="仿宋"/>
          <w:b/>
          <w:bCs/>
          <w:color w:val="auto"/>
          <w:sz w:val="32"/>
          <w:szCs w:val="32"/>
          <w:highlight w:val="none"/>
          <w:lang w:val="en-US" w:eastAsia="zh-CN"/>
        </w:rPr>
        <w:t>[责任单位：区农业农村水利局、区林业局、区工信局、各街道（乡、镇）（涉及以下各项任务，不再列出）]</w:t>
      </w:r>
    </w:p>
    <w:p>
      <w:pPr>
        <w:pStyle w:val="4"/>
        <w:keepNext w:val="0"/>
        <w:keepLines w:val="0"/>
        <w:pageBreakBefore w:val="0"/>
        <w:kinsoku/>
        <w:wordWrap/>
        <w:overflowPunct/>
        <w:topLinePunct w:val="0"/>
        <w:autoSpaceDE/>
        <w:autoSpaceDN/>
        <w:bidi w:val="0"/>
        <w:adjustRightInd/>
        <w:snapToGrid w:val="0"/>
        <w:spacing w:after="0" w:line="600" w:lineRule="exact"/>
        <w:ind w:firstLine="640" w:firstLineChars="200"/>
        <w:rPr>
          <w:rFonts w:hint="default" w:ascii="仿宋" w:hAnsi="仿宋" w:eastAsia="仿宋" w:cs="仿宋"/>
          <w:b/>
          <w:bCs/>
          <w:color w:val="auto"/>
          <w:sz w:val="32"/>
          <w:szCs w:val="32"/>
          <w:highlight w:val="none"/>
          <w:lang w:val="en-US" w:eastAsia="zh-CN"/>
        </w:rPr>
      </w:pPr>
      <w:r>
        <w:rPr>
          <w:rFonts w:hint="eastAsia" w:ascii="楷体" w:hAnsi="楷体" w:eastAsia="楷体" w:cs="楷体"/>
          <w:b/>
          <w:bCs/>
          <w:color w:val="auto"/>
          <w:sz w:val="32"/>
          <w:szCs w:val="32"/>
          <w:highlight w:val="none"/>
          <w:lang w:val="zh-CN"/>
        </w:rPr>
        <w:t>2.标准化建基地。</w:t>
      </w:r>
      <w:r>
        <w:rPr>
          <w:rFonts w:hint="eastAsia" w:ascii="仿宋" w:hAnsi="仿宋" w:eastAsia="仿宋" w:cs="仿宋_GB2312"/>
          <w:color w:val="auto"/>
          <w:sz w:val="32"/>
          <w:szCs w:val="32"/>
          <w:highlight w:val="none"/>
          <w:lang w:val="zh-CN"/>
        </w:rPr>
        <w:t>以重要农产品生产保护区和特色农产品优势区为重点，稳定畜牧产量，建设</w:t>
      </w:r>
      <w:r>
        <w:rPr>
          <w:rFonts w:hint="eastAsia" w:ascii="仿宋" w:hAnsi="仿宋" w:eastAsia="仿宋" w:cs="仿宋_GB2312"/>
          <w:color w:val="auto"/>
          <w:sz w:val="32"/>
          <w:szCs w:val="32"/>
          <w:highlight w:val="none"/>
        </w:rPr>
        <w:t>标准化规模养殖场，大力发展设施蔬菜产业和道地中药材产业。引导龙头企业按照“公司+基地+农户+市场”的经营方式，发展订单生产。</w:t>
      </w:r>
      <w:r>
        <w:rPr>
          <w:rFonts w:hint="eastAsia" w:ascii="仿宋" w:hAnsi="仿宋" w:eastAsia="仿宋" w:cs="仿宋_GB2312"/>
          <w:color w:val="auto"/>
          <w:sz w:val="32"/>
          <w:szCs w:val="32"/>
          <w:highlight w:val="none"/>
          <w:lang w:val="zh-CN"/>
        </w:rPr>
        <w:t>实施农业生产“三品一标”提升行动，推动我区农业品种培优、品质提升、品牌打造和标准化生产。打造绿色农业产业链，鼓励新型农业生产经营主体按标生产，开展农产品</w:t>
      </w:r>
      <w:r>
        <w:rPr>
          <w:rFonts w:hint="eastAsia" w:ascii="仿宋" w:hAnsi="仿宋" w:eastAsia="仿宋" w:cs="仿宋_GB2312"/>
          <w:color w:val="auto"/>
          <w:sz w:val="32"/>
          <w:szCs w:val="32"/>
          <w:highlight w:val="none"/>
        </w:rPr>
        <w:t>质量</w:t>
      </w:r>
      <w:r>
        <w:rPr>
          <w:rFonts w:hint="eastAsia" w:ascii="仿宋" w:hAnsi="仿宋" w:eastAsia="仿宋" w:cs="仿宋_GB2312"/>
          <w:color w:val="auto"/>
          <w:sz w:val="32"/>
          <w:szCs w:val="32"/>
          <w:highlight w:val="none"/>
          <w:lang w:val="zh-CN"/>
        </w:rPr>
        <w:t>认证。推行绿色生产技术，</w:t>
      </w:r>
      <w:r>
        <w:rPr>
          <w:rFonts w:hint="eastAsia" w:ascii="仿宋" w:hAnsi="仿宋" w:eastAsia="仿宋" w:cs="仿宋_GB2312"/>
          <w:color w:val="auto"/>
          <w:sz w:val="32"/>
          <w:szCs w:val="32"/>
          <w:highlight w:val="none"/>
        </w:rPr>
        <w:t>生态循环模式，创建一批全产业链标准化试点示范区，打造蔬菜、中药材等产业集群。</w:t>
      </w:r>
      <w:r>
        <w:rPr>
          <w:rFonts w:hint="eastAsia" w:ascii="仿宋" w:hAnsi="仿宋" w:eastAsia="仿宋" w:cs="仿宋"/>
          <w:color w:val="auto"/>
          <w:sz w:val="32"/>
          <w:szCs w:val="32"/>
          <w:highlight w:val="none"/>
        </w:rPr>
        <w:t>到2025年，全区</w:t>
      </w:r>
      <w:r>
        <w:rPr>
          <w:rFonts w:hint="eastAsia" w:ascii="仿宋" w:hAnsi="仿宋" w:eastAsia="仿宋" w:cs="仿宋_GB2312"/>
          <w:color w:val="auto"/>
          <w:sz w:val="32"/>
          <w:szCs w:val="32"/>
          <w:highlight w:val="none"/>
          <w:lang w:val="zh-CN"/>
        </w:rPr>
        <w:t>绿色食品、有机农产品和地理标志</w:t>
      </w:r>
      <w:r>
        <w:rPr>
          <w:rFonts w:hint="eastAsia" w:ascii="仿宋" w:hAnsi="仿宋" w:eastAsia="仿宋" w:cs="仿宋"/>
          <w:color w:val="auto"/>
          <w:sz w:val="32"/>
          <w:szCs w:val="32"/>
          <w:highlight w:val="none"/>
        </w:rPr>
        <w:t>农产品数量达到27个。</w:t>
      </w:r>
      <w:r>
        <w:rPr>
          <w:rFonts w:hint="eastAsia" w:ascii="仿宋" w:hAnsi="仿宋" w:eastAsia="仿宋" w:cs="仿宋"/>
          <w:b/>
          <w:bCs/>
          <w:color w:val="auto"/>
          <w:sz w:val="32"/>
          <w:szCs w:val="32"/>
          <w:highlight w:val="none"/>
          <w:lang w:val="en-US" w:eastAsia="zh-CN"/>
        </w:rPr>
        <w:t>[责任单位：区农业农村水利局、区市场监管局、区林业局、区科技局]</w:t>
      </w:r>
    </w:p>
    <w:p>
      <w:pPr>
        <w:pStyle w:val="4"/>
        <w:keepNext w:val="0"/>
        <w:keepLines w:val="0"/>
        <w:pageBreakBefore w:val="0"/>
        <w:kinsoku/>
        <w:wordWrap/>
        <w:overflowPunct/>
        <w:topLinePunct w:val="0"/>
        <w:autoSpaceDE/>
        <w:autoSpaceDN/>
        <w:bidi w:val="0"/>
        <w:adjustRightInd/>
        <w:snapToGrid w:val="0"/>
        <w:spacing w:after="0" w:line="600" w:lineRule="exact"/>
        <w:ind w:firstLine="640" w:firstLineChars="200"/>
        <w:rPr>
          <w:rFonts w:hint="default" w:ascii="仿宋" w:hAnsi="仿宋" w:eastAsia="仿宋" w:cs="仿宋_GB2312"/>
          <w:b/>
          <w:bCs/>
          <w:color w:val="auto"/>
          <w:sz w:val="32"/>
          <w:szCs w:val="32"/>
          <w:highlight w:val="none"/>
          <w:lang w:val="en-US" w:eastAsia="zh-CN"/>
        </w:rPr>
      </w:pPr>
      <w:r>
        <w:rPr>
          <w:rFonts w:hint="eastAsia" w:ascii="楷体" w:hAnsi="楷体" w:eastAsia="楷体" w:cs="楷体"/>
          <w:b/>
          <w:bCs/>
          <w:color w:val="auto"/>
          <w:sz w:val="32"/>
          <w:szCs w:val="32"/>
          <w:highlight w:val="none"/>
          <w:lang w:val="zh-CN"/>
        </w:rPr>
        <w:t>3.多样化促加工。</w:t>
      </w:r>
      <w:r>
        <w:rPr>
          <w:rFonts w:hint="eastAsia" w:ascii="仿宋" w:hAnsi="仿宋" w:eastAsia="仿宋" w:cs="仿宋_GB2312"/>
          <w:color w:val="auto"/>
          <w:sz w:val="32"/>
          <w:szCs w:val="32"/>
          <w:highlight w:val="none"/>
          <w:lang w:val="zh-CN"/>
        </w:rPr>
        <w:t>以龙头企业为引领，促进农产品初加工、精深加工和综合利用加工全面发展。</w:t>
      </w:r>
      <w:r>
        <w:rPr>
          <w:rFonts w:hint="eastAsia" w:ascii="仿宋" w:hAnsi="仿宋" w:eastAsia="仿宋" w:cs="仿宋"/>
          <w:color w:val="auto"/>
          <w:sz w:val="32"/>
          <w:szCs w:val="32"/>
          <w:highlight w:val="none"/>
        </w:rPr>
        <w:t>大力发展预制菜、中药饮片、富硒产品、绿色食品等开发类别多样、营养健康、方便快捷的系列化加工产品。鼓励企业科技创新，提升加工装备水平，加快生产经营智能化改造，转化科技成果开发多元新产品。</w:t>
      </w:r>
      <w:r>
        <w:rPr>
          <w:rFonts w:hint="eastAsia" w:ascii="仿宋" w:hAnsi="仿宋" w:eastAsia="仿宋" w:cs="仿宋_GB2312"/>
          <w:color w:val="auto"/>
          <w:sz w:val="32"/>
          <w:szCs w:val="32"/>
          <w:highlight w:val="none"/>
          <w:lang w:val="zh-CN"/>
        </w:rPr>
        <w:t>鼓励企业与高校科研院所对接合作，</w:t>
      </w:r>
      <w:r>
        <w:rPr>
          <w:rFonts w:hint="eastAsia" w:ascii="仿宋" w:hAnsi="仿宋" w:eastAsia="仿宋" w:cs="仿宋_GB2312"/>
          <w:color w:val="auto"/>
          <w:sz w:val="32"/>
          <w:szCs w:val="32"/>
          <w:highlight w:val="none"/>
        </w:rPr>
        <w:t>围绕生物种业、智能农机装备、数字农业等领域，加大关键技术攻关协同推广</w:t>
      </w:r>
      <w:r>
        <w:rPr>
          <w:rFonts w:hint="eastAsia" w:ascii="仿宋" w:hAnsi="仿宋" w:eastAsia="仿宋" w:cs="仿宋_GB2312"/>
          <w:color w:val="auto"/>
          <w:sz w:val="32"/>
          <w:szCs w:val="32"/>
          <w:highlight w:val="none"/>
          <w:lang w:val="zh-CN"/>
        </w:rPr>
        <w:t>。到2025</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lang w:val="zh-CN"/>
        </w:rPr>
        <w:t>全市农产品加工业总产值突破</w:t>
      </w:r>
      <w:r>
        <w:rPr>
          <w:rFonts w:hint="eastAsia" w:ascii="仿宋" w:hAnsi="仿宋" w:eastAsia="仿宋" w:cs="仿宋_GB2312"/>
          <w:color w:val="auto"/>
          <w:sz w:val="32"/>
          <w:szCs w:val="32"/>
          <w:highlight w:val="none"/>
        </w:rPr>
        <w:t>45亿元</w:t>
      </w:r>
      <w:r>
        <w:rPr>
          <w:rFonts w:hint="eastAsia" w:ascii="仿宋" w:hAnsi="仿宋" w:eastAsia="仿宋" w:cs="仿宋_GB2312"/>
          <w:color w:val="auto"/>
          <w:sz w:val="32"/>
          <w:szCs w:val="32"/>
          <w:highlight w:val="none"/>
          <w:lang w:val="zh-CN"/>
        </w:rPr>
        <w:t>。</w:t>
      </w:r>
      <w:r>
        <w:rPr>
          <w:rFonts w:hint="eastAsia" w:ascii="仿宋" w:hAnsi="仿宋" w:eastAsia="仿宋" w:cs="仿宋_GB2312"/>
          <w:b/>
          <w:bCs/>
          <w:color w:val="auto"/>
          <w:sz w:val="32"/>
          <w:szCs w:val="32"/>
          <w:highlight w:val="none"/>
          <w:lang w:val="en-US" w:eastAsia="zh-CN"/>
        </w:rPr>
        <w:t>[责任单位：区农业农村水利局、区林业局、区科技局、区工信局、区卫健委]</w:t>
      </w:r>
    </w:p>
    <w:p>
      <w:pPr>
        <w:pStyle w:val="4"/>
        <w:keepNext w:val="0"/>
        <w:keepLines w:val="0"/>
        <w:pageBreakBefore w:val="0"/>
        <w:kinsoku/>
        <w:wordWrap/>
        <w:overflowPunct/>
        <w:topLinePunct w:val="0"/>
        <w:autoSpaceDE/>
        <w:autoSpaceDN/>
        <w:bidi w:val="0"/>
        <w:adjustRightInd/>
        <w:snapToGrid w:val="0"/>
        <w:spacing w:after="0" w:line="600" w:lineRule="exact"/>
        <w:ind w:firstLine="640" w:firstLineChars="200"/>
        <w:rPr>
          <w:rFonts w:hint="default" w:ascii="仿宋" w:hAnsi="仿宋" w:eastAsia="仿宋" w:cs="仿宋_GB2312"/>
          <w:b/>
          <w:bCs/>
          <w:color w:val="auto"/>
          <w:sz w:val="32"/>
          <w:szCs w:val="32"/>
          <w:highlight w:val="none"/>
          <w:lang w:val="en-US" w:eastAsia="zh-CN"/>
        </w:rPr>
      </w:pPr>
      <w:r>
        <w:rPr>
          <w:rFonts w:hint="eastAsia" w:ascii="楷体" w:hAnsi="楷体" w:eastAsia="楷体" w:cs="楷体"/>
          <w:b/>
          <w:bCs/>
          <w:color w:val="auto"/>
          <w:sz w:val="32"/>
          <w:szCs w:val="32"/>
          <w:highlight w:val="none"/>
          <w:lang w:val="zh-CN"/>
        </w:rPr>
        <w:t>4.网格化畅流通。</w:t>
      </w:r>
      <w:r>
        <w:rPr>
          <w:rFonts w:hint="eastAsia" w:ascii="仿宋" w:hAnsi="仿宋" w:eastAsia="仿宋" w:cs="仿宋_GB2312"/>
          <w:color w:val="auto"/>
          <w:sz w:val="32"/>
          <w:szCs w:val="32"/>
          <w:highlight w:val="none"/>
        </w:rPr>
        <w:t>加快农产品流通体系建设，以</w:t>
      </w:r>
      <w:r>
        <w:rPr>
          <w:rFonts w:hint="eastAsia" w:ascii="仿宋" w:hAnsi="仿宋" w:eastAsia="仿宋" w:cs="仿宋_GB2312"/>
          <w:color w:val="auto"/>
          <w:sz w:val="32"/>
          <w:szCs w:val="32"/>
          <w:highlight w:val="none"/>
          <w:lang w:val="zh-CN"/>
        </w:rPr>
        <w:t>生鲜农产品主产区、特色农产品优势区为重点，支持建设一批产地冷藏保鲜设施。依托农产品重要集散地和主销区，推进</w:t>
      </w:r>
      <w:r>
        <w:rPr>
          <w:rFonts w:hint="eastAsia" w:ascii="仿宋" w:hAnsi="仿宋" w:eastAsia="仿宋" w:cs="仿宋_GB2312"/>
          <w:color w:val="auto"/>
          <w:sz w:val="32"/>
          <w:szCs w:val="32"/>
          <w:highlight w:val="none"/>
        </w:rPr>
        <w:t>全区</w:t>
      </w:r>
      <w:r>
        <w:rPr>
          <w:rFonts w:hint="eastAsia" w:ascii="仿宋" w:hAnsi="仿宋" w:eastAsia="仿宋" w:cs="仿宋_GB2312"/>
          <w:color w:val="auto"/>
          <w:sz w:val="32"/>
          <w:szCs w:val="32"/>
          <w:highlight w:val="none"/>
          <w:lang w:val="zh-CN"/>
        </w:rPr>
        <w:t>城乡冷链和物流骨干网建设。推行净菜供应、冷链配送等服务。落实好“绿色通道”政策。到2025年，新建或改建</w:t>
      </w:r>
      <w:r>
        <w:rPr>
          <w:rFonts w:hint="eastAsia" w:ascii="仿宋" w:hAnsi="仿宋" w:eastAsia="仿宋" w:cs="仿宋_GB2312"/>
          <w:color w:val="auto"/>
          <w:sz w:val="32"/>
          <w:szCs w:val="32"/>
          <w:highlight w:val="none"/>
        </w:rPr>
        <w:t>10</w:t>
      </w:r>
      <w:r>
        <w:rPr>
          <w:rFonts w:hint="eastAsia" w:ascii="仿宋" w:hAnsi="仿宋" w:eastAsia="仿宋" w:cs="仿宋_GB2312"/>
          <w:color w:val="auto"/>
          <w:sz w:val="32"/>
          <w:szCs w:val="32"/>
          <w:highlight w:val="none"/>
          <w:lang w:val="zh-CN"/>
        </w:rPr>
        <w:t>个左右农产品产地冷藏保鲜设施。</w:t>
      </w:r>
      <w:r>
        <w:rPr>
          <w:rFonts w:hint="eastAsia" w:ascii="仿宋" w:hAnsi="仿宋" w:eastAsia="仿宋" w:cs="仿宋_GB2312"/>
          <w:b/>
          <w:bCs/>
          <w:color w:val="auto"/>
          <w:sz w:val="32"/>
          <w:szCs w:val="32"/>
          <w:highlight w:val="none"/>
          <w:lang w:val="en-US" w:eastAsia="zh-CN"/>
        </w:rPr>
        <w:t>[责任单位：区农业农村水利局、区发改委、区商务局、区交通运输局]</w:t>
      </w:r>
    </w:p>
    <w:p>
      <w:pPr>
        <w:pStyle w:val="4"/>
        <w:keepNext w:val="0"/>
        <w:keepLines w:val="0"/>
        <w:pageBreakBefore w:val="0"/>
        <w:kinsoku/>
        <w:wordWrap/>
        <w:overflowPunct/>
        <w:topLinePunct w:val="0"/>
        <w:autoSpaceDE/>
        <w:autoSpaceDN/>
        <w:bidi w:val="0"/>
        <w:adjustRightInd/>
        <w:snapToGrid w:val="0"/>
        <w:spacing w:after="0" w:line="600" w:lineRule="exact"/>
        <w:ind w:firstLine="640" w:firstLineChars="200"/>
        <w:rPr>
          <w:rFonts w:hint="default" w:ascii="仿宋" w:hAnsi="仿宋" w:eastAsia="仿宋" w:cs="仿宋_GB2312"/>
          <w:b/>
          <w:bCs/>
          <w:color w:val="auto"/>
          <w:sz w:val="32"/>
          <w:szCs w:val="32"/>
          <w:highlight w:val="none"/>
          <w:lang w:val="en-US" w:eastAsia="zh-CN"/>
        </w:rPr>
      </w:pPr>
      <w:r>
        <w:rPr>
          <w:rFonts w:hint="eastAsia" w:ascii="楷体" w:hAnsi="楷体" w:eastAsia="楷体" w:cs="楷体"/>
          <w:b/>
          <w:bCs/>
          <w:color w:val="auto"/>
          <w:sz w:val="32"/>
          <w:szCs w:val="32"/>
          <w:highlight w:val="none"/>
          <w:lang w:val="zh-CN"/>
        </w:rPr>
        <w:t>5.融合化延伸链。</w:t>
      </w:r>
      <w:r>
        <w:rPr>
          <w:rFonts w:hint="eastAsia" w:ascii="仿宋" w:hAnsi="仿宋" w:eastAsia="仿宋" w:cs="仿宋_GB2312"/>
          <w:color w:val="auto"/>
          <w:sz w:val="32"/>
          <w:szCs w:val="32"/>
          <w:highlight w:val="none"/>
        </w:rPr>
        <w:t>持续推进现代农业产业链发展，构建“</w:t>
      </w:r>
      <w:r>
        <w:rPr>
          <w:rFonts w:hint="eastAsia" w:ascii="仿宋" w:hAnsi="仿宋" w:eastAsia="仿宋" w:cs="仿宋_GB2312"/>
          <w:color w:val="auto"/>
          <w:sz w:val="32"/>
          <w:szCs w:val="32"/>
          <w:highlight w:val="none"/>
          <w:lang w:val="zh-CN"/>
        </w:rPr>
        <w:t>一县一园、一镇一业、一村一品”的产业体系，打造富有特色、带动力强的特色产业集聚区。全力推进农机服务体系转型升级，实施农机装备能力提升，补齐水稻机械化种植短板。到</w:t>
      </w:r>
      <w:r>
        <w:rPr>
          <w:rFonts w:hint="eastAsia" w:ascii="仿宋" w:hAnsi="仿宋" w:eastAsia="仿宋" w:cs="仿宋_GB2312"/>
          <w:color w:val="auto"/>
          <w:sz w:val="32"/>
          <w:szCs w:val="32"/>
          <w:highlight w:val="none"/>
        </w:rPr>
        <w:t>2025年，建设一批全程机械化+综合农事服务中心，推进水稻机械化育秧中心建设，水稻机械化种植率达到44%以上。</w:t>
      </w:r>
      <w:r>
        <w:rPr>
          <w:rFonts w:hint="eastAsia" w:ascii="仿宋" w:hAnsi="仿宋" w:eastAsia="仿宋" w:cs="仿宋_GB2312"/>
          <w:b/>
          <w:bCs/>
          <w:color w:val="auto"/>
          <w:sz w:val="32"/>
          <w:szCs w:val="32"/>
          <w:highlight w:val="none"/>
          <w:lang w:val="en-US" w:eastAsia="zh-CN"/>
        </w:rPr>
        <w:t>[责任部门：区农业农村水利局、区林业局]</w:t>
      </w:r>
    </w:p>
    <w:p>
      <w:pPr>
        <w:pStyle w:val="4"/>
        <w:keepNext w:val="0"/>
        <w:keepLines w:val="0"/>
        <w:pageBreakBefore w:val="0"/>
        <w:kinsoku/>
        <w:wordWrap/>
        <w:overflowPunct/>
        <w:topLinePunct w:val="0"/>
        <w:autoSpaceDE/>
        <w:autoSpaceDN/>
        <w:bidi w:val="0"/>
        <w:adjustRightInd/>
        <w:snapToGrid w:val="0"/>
        <w:spacing w:after="0" w:line="600" w:lineRule="exact"/>
        <w:ind w:firstLine="640" w:firstLineChars="200"/>
        <w:rPr>
          <w:rFonts w:hint="default" w:ascii="仿宋" w:hAnsi="仿宋" w:eastAsia="仿宋" w:cs="仿宋_GB2312"/>
          <w:b/>
          <w:bCs/>
          <w:color w:val="auto"/>
          <w:sz w:val="32"/>
          <w:szCs w:val="32"/>
          <w:highlight w:val="none"/>
          <w:lang w:val="en-US"/>
        </w:rPr>
      </w:pPr>
      <w:r>
        <w:rPr>
          <w:rFonts w:hint="eastAsia" w:ascii="楷体" w:hAnsi="楷体" w:eastAsia="楷体" w:cs="楷体"/>
          <w:b/>
          <w:bCs/>
          <w:color w:val="auto"/>
          <w:sz w:val="32"/>
          <w:szCs w:val="32"/>
          <w:highlight w:val="none"/>
          <w:lang w:val="zh-CN"/>
        </w:rPr>
        <w:t>6.多渠道促合作。</w:t>
      </w:r>
      <w:r>
        <w:rPr>
          <w:rFonts w:hint="eastAsia" w:ascii="仿宋" w:hAnsi="仿宋" w:eastAsia="仿宋" w:cs="仿宋_GB2312"/>
          <w:color w:val="auto"/>
          <w:sz w:val="32"/>
          <w:szCs w:val="32"/>
          <w:highlight w:val="none"/>
        </w:rPr>
        <w:t>加大绿色食品产业链农业招商引资力度，</w:t>
      </w:r>
      <w:r>
        <w:rPr>
          <w:rFonts w:hint="eastAsia" w:ascii="仿宋" w:hAnsi="仿宋" w:eastAsia="仿宋" w:cs="仿宋_GB2312"/>
          <w:color w:val="auto"/>
          <w:sz w:val="32"/>
          <w:szCs w:val="32"/>
          <w:highlight w:val="none"/>
          <w:lang w:val="zh-CN"/>
        </w:rPr>
        <w:t>聚焦</w:t>
      </w:r>
      <w:r>
        <w:rPr>
          <w:rFonts w:hint="eastAsia" w:ascii="仿宋" w:hAnsi="仿宋" w:eastAsia="仿宋" w:cs="仿宋_GB2312"/>
          <w:color w:val="auto"/>
          <w:sz w:val="32"/>
          <w:szCs w:val="32"/>
          <w:highlight w:val="none"/>
        </w:rPr>
        <w:t>粤港澳大湾区</w:t>
      </w:r>
      <w:r>
        <w:rPr>
          <w:rFonts w:hint="eastAsia" w:ascii="仿宋" w:hAnsi="仿宋" w:eastAsia="仿宋" w:cs="仿宋_GB2312"/>
          <w:color w:val="auto"/>
          <w:sz w:val="32"/>
          <w:szCs w:val="32"/>
          <w:highlight w:val="none"/>
          <w:lang w:val="zh-CN"/>
        </w:rPr>
        <w:t>、京津冀、长三角、</w:t>
      </w:r>
      <w:r>
        <w:rPr>
          <w:rFonts w:hint="eastAsia" w:ascii="仿宋" w:hAnsi="仿宋" w:eastAsia="仿宋" w:cs="仿宋_GB2312"/>
          <w:color w:val="auto"/>
          <w:sz w:val="32"/>
          <w:szCs w:val="32"/>
          <w:highlight w:val="none"/>
        </w:rPr>
        <w:t>海西经济区</w:t>
      </w:r>
      <w:r>
        <w:rPr>
          <w:rFonts w:hint="eastAsia" w:ascii="仿宋" w:hAnsi="仿宋" w:eastAsia="仿宋" w:cs="仿宋_GB2312"/>
          <w:color w:val="auto"/>
          <w:sz w:val="32"/>
          <w:szCs w:val="32"/>
          <w:highlight w:val="none"/>
          <w:lang w:val="zh-CN"/>
        </w:rPr>
        <w:t>等</w:t>
      </w:r>
      <w:r>
        <w:rPr>
          <w:rFonts w:hint="eastAsia" w:ascii="仿宋" w:hAnsi="仿宋" w:eastAsia="仿宋" w:cs="仿宋_GB2312"/>
          <w:color w:val="auto"/>
          <w:sz w:val="32"/>
          <w:szCs w:val="32"/>
          <w:highlight w:val="none"/>
        </w:rPr>
        <w:t>发达地区</w:t>
      </w:r>
      <w:r>
        <w:rPr>
          <w:rFonts w:hint="eastAsia" w:ascii="仿宋" w:hAnsi="仿宋" w:eastAsia="仿宋" w:cs="仿宋_GB2312"/>
          <w:color w:val="auto"/>
          <w:sz w:val="32"/>
          <w:szCs w:val="32"/>
          <w:highlight w:val="none"/>
          <w:lang w:val="zh-CN"/>
        </w:rPr>
        <w:t>，围绕富硒农业等重点产业，积极组织参与各类招商引资活动。谋划储备一批产业链条中发展潜力大、投资效益好的招商项目，多渠道、多形式向投资客商重点宣传推介。到2025年，年度农业农村招商引资实际进资额达到</w:t>
      </w:r>
      <w:r>
        <w:rPr>
          <w:rFonts w:hint="eastAsia" w:ascii="仿宋" w:hAnsi="仿宋" w:eastAsia="仿宋" w:cs="仿宋_GB2312"/>
          <w:color w:val="auto"/>
          <w:sz w:val="32"/>
          <w:szCs w:val="32"/>
          <w:highlight w:val="none"/>
        </w:rPr>
        <w:t>3</w:t>
      </w:r>
      <w:r>
        <w:rPr>
          <w:rFonts w:hint="eastAsia" w:ascii="仿宋" w:hAnsi="仿宋" w:eastAsia="仿宋" w:cs="仿宋_GB2312"/>
          <w:color w:val="auto"/>
          <w:sz w:val="32"/>
          <w:szCs w:val="32"/>
          <w:highlight w:val="none"/>
          <w:lang w:val="zh-CN"/>
        </w:rPr>
        <w:t>亿元以上。</w:t>
      </w:r>
      <w:r>
        <w:rPr>
          <w:rFonts w:hint="eastAsia" w:ascii="仿宋" w:hAnsi="仿宋" w:eastAsia="仿宋" w:cs="仿宋_GB2312"/>
          <w:b/>
          <w:bCs/>
          <w:color w:val="auto"/>
          <w:sz w:val="32"/>
          <w:szCs w:val="32"/>
          <w:highlight w:val="none"/>
          <w:lang w:val="en-US" w:eastAsia="zh-CN"/>
        </w:rPr>
        <w:t>[责任部门：区农业农村水利局、区商务局]</w:t>
      </w:r>
    </w:p>
    <w:p>
      <w:pPr>
        <w:pStyle w:val="4"/>
        <w:keepNext w:val="0"/>
        <w:keepLines w:val="0"/>
        <w:pageBreakBefore w:val="0"/>
        <w:kinsoku/>
        <w:wordWrap/>
        <w:overflowPunct/>
        <w:topLinePunct w:val="0"/>
        <w:autoSpaceDE/>
        <w:autoSpaceDN/>
        <w:bidi w:val="0"/>
        <w:adjustRightInd/>
        <w:snapToGrid w:val="0"/>
        <w:spacing w:after="0" w:line="600" w:lineRule="exact"/>
        <w:ind w:firstLine="683"/>
        <w:rPr>
          <w:rFonts w:hint="eastAsia" w:ascii="仿宋" w:hAnsi="仿宋" w:eastAsia="仿宋" w:cs="黑体"/>
          <w:b/>
          <w:bCs/>
          <w:color w:val="auto"/>
          <w:sz w:val="36"/>
          <w:szCs w:val="34"/>
          <w:highlight w:val="none"/>
        </w:rPr>
      </w:pPr>
      <w:r>
        <w:rPr>
          <w:rFonts w:hint="eastAsia" w:ascii="仿宋" w:hAnsi="仿宋" w:eastAsia="仿宋" w:cs="黑体"/>
          <w:b/>
          <w:bCs/>
          <w:color w:val="auto"/>
          <w:sz w:val="36"/>
          <w:szCs w:val="34"/>
          <w:highlight w:val="none"/>
        </w:rPr>
        <w:t>四、政策支持</w:t>
      </w:r>
    </w:p>
    <w:p>
      <w:pPr>
        <w:pStyle w:val="4"/>
        <w:keepNext w:val="0"/>
        <w:keepLines w:val="0"/>
        <w:pageBreakBefore w:val="0"/>
        <w:kinsoku/>
        <w:wordWrap/>
        <w:overflowPunct/>
        <w:topLinePunct w:val="0"/>
        <w:autoSpaceDE/>
        <w:autoSpaceDN/>
        <w:bidi w:val="0"/>
        <w:adjustRightInd/>
        <w:snapToGrid w:val="0"/>
        <w:spacing w:after="0" w:line="600" w:lineRule="exact"/>
        <w:ind w:firstLine="683"/>
        <w:rPr>
          <w:rFonts w:hint="eastAsia" w:ascii="仿宋" w:hAnsi="仿宋" w:eastAsia="仿宋" w:cs="黑体"/>
          <w:b w:val="0"/>
          <w:bCs w:val="0"/>
          <w:color w:val="auto"/>
          <w:sz w:val="32"/>
          <w:szCs w:val="32"/>
          <w:highlight w:val="none"/>
          <w:lang w:val="en-US" w:eastAsia="zh-CN"/>
        </w:rPr>
      </w:pPr>
      <w:r>
        <w:rPr>
          <w:rFonts w:hint="eastAsia" w:ascii="仿宋" w:hAnsi="仿宋" w:eastAsia="仿宋" w:cs="黑体"/>
          <w:b w:val="0"/>
          <w:bCs w:val="0"/>
          <w:color w:val="auto"/>
          <w:sz w:val="32"/>
          <w:szCs w:val="32"/>
          <w:highlight w:val="none"/>
        </w:rPr>
        <w:t>2023—2025年每年统筹整合</w:t>
      </w:r>
      <w:r>
        <w:rPr>
          <w:rFonts w:hint="eastAsia" w:ascii="仿宋" w:hAnsi="仿宋" w:eastAsia="仿宋" w:cs="黑体"/>
          <w:b w:val="0"/>
          <w:bCs w:val="0"/>
          <w:color w:val="auto"/>
          <w:sz w:val="32"/>
          <w:szCs w:val="32"/>
          <w:highlight w:val="none"/>
          <w:lang w:val="en-US" w:eastAsia="zh-CN"/>
        </w:rPr>
        <w:t>100</w:t>
      </w:r>
      <w:r>
        <w:rPr>
          <w:rFonts w:hint="eastAsia" w:ascii="仿宋" w:hAnsi="仿宋" w:eastAsia="仿宋" w:cs="黑体"/>
          <w:b w:val="0"/>
          <w:bCs w:val="0"/>
          <w:color w:val="auto"/>
          <w:sz w:val="32"/>
          <w:szCs w:val="32"/>
          <w:highlight w:val="none"/>
        </w:rPr>
        <w:t>万元财政资金，用于支持农业</w:t>
      </w:r>
      <w:r>
        <w:rPr>
          <w:rFonts w:hint="eastAsia" w:ascii="仿宋" w:hAnsi="仿宋" w:eastAsia="仿宋" w:cs="黑体"/>
          <w:b w:val="0"/>
          <w:bCs w:val="0"/>
          <w:color w:val="auto"/>
          <w:sz w:val="32"/>
          <w:szCs w:val="32"/>
          <w:highlight w:val="none"/>
          <w:lang w:val="en-US" w:eastAsia="zh-CN"/>
        </w:rPr>
        <w:t>产业发展</w:t>
      </w:r>
      <w:r>
        <w:rPr>
          <w:rFonts w:hint="eastAsia" w:ascii="仿宋" w:hAnsi="仿宋" w:eastAsia="仿宋" w:cs="黑体"/>
          <w:b w:val="0"/>
          <w:bCs w:val="0"/>
          <w:color w:val="auto"/>
          <w:sz w:val="32"/>
          <w:szCs w:val="32"/>
          <w:highlight w:val="none"/>
        </w:rPr>
        <w:t>农产品生产加工、品牌培育及扶持龙头企业等各环节。</w:t>
      </w:r>
    </w:p>
    <w:p>
      <w:pPr>
        <w:pStyle w:val="4"/>
        <w:keepNext w:val="0"/>
        <w:keepLines w:val="0"/>
        <w:pageBreakBefore w:val="0"/>
        <w:kinsoku/>
        <w:wordWrap/>
        <w:overflowPunct/>
        <w:topLinePunct w:val="0"/>
        <w:autoSpaceDE/>
        <w:autoSpaceDN/>
        <w:bidi w:val="0"/>
        <w:adjustRightInd/>
        <w:snapToGrid w:val="0"/>
        <w:spacing w:after="0" w:line="600" w:lineRule="exact"/>
        <w:ind w:firstLine="640" w:firstLineChars="200"/>
        <w:rPr>
          <w:rFonts w:hint="eastAsia" w:ascii="仿宋" w:hAnsi="仿宋" w:eastAsia="仿宋" w:cs="黑体"/>
          <w:b w:val="0"/>
          <w:bCs w:val="0"/>
          <w:color w:val="auto"/>
          <w:sz w:val="32"/>
          <w:szCs w:val="32"/>
          <w:highlight w:val="none"/>
          <w:lang w:eastAsia="zh-CN"/>
        </w:rPr>
      </w:pPr>
      <w:r>
        <w:rPr>
          <w:rFonts w:hint="eastAsia" w:ascii="楷体" w:hAnsi="楷体" w:eastAsia="楷体" w:cs="楷体"/>
          <w:b/>
          <w:bCs/>
          <w:color w:val="auto"/>
          <w:sz w:val="32"/>
          <w:szCs w:val="32"/>
          <w:highlight w:val="none"/>
          <w:lang w:val="en-US" w:eastAsia="zh-CN"/>
        </w:rPr>
        <w:t>1.</w:t>
      </w:r>
      <w:r>
        <w:rPr>
          <w:rFonts w:hint="eastAsia" w:ascii="楷体" w:hAnsi="楷体" w:eastAsia="楷体" w:cs="楷体"/>
          <w:b/>
          <w:bCs/>
          <w:color w:val="auto"/>
          <w:sz w:val="32"/>
          <w:szCs w:val="32"/>
          <w:highlight w:val="none"/>
          <w:lang w:val="zh-CN"/>
        </w:rPr>
        <w:t>支持龙头企业。</w:t>
      </w:r>
      <w:r>
        <w:rPr>
          <w:rFonts w:hint="eastAsia" w:ascii="仿宋" w:hAnsi="仿宋" w:eastAsia="仿宋" w:cs="黑体"/>
          <w:b w:val="0"/>
          <w:bCs w:val="0"/>
          <w:color w:val="auto"/>
          <w:sz w:val="32"/>
          <w:szCs w:val="32"/>
          <w:highlight w:val="none"/>
        </w:rPr>
        <w:t>加大对农业龙头企业扶持力度，对首次认定的国家级、省级农业产业化龙头企业和年销售收入首次突破10亿元的农业龙头企业给予一定奖励。支持农业龙头企业上市融资，对在主板成功上市企业给予奖励</w:t>
      </w:r>
      <w:r>
        <w:rPr>
          <w:rFonts w:hint="eastAsia" w:ascii="仿宋" w:hAnsi="仿宋" w:eastAsia="仿宋" w:cs="黑体"/>
          <w:b w:val="0"/>
          <w:bCs w:val="0"/>
          <w:color w:val="auto"/>
          <w:sz w:val="32"/>
          <w:szCs w:val="32"/>
          <w:highlight w:val="none"/>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firstLine="640" w:firstLineChars="200"/>
        <w:textAlignment w:val="auto"/>
        <w:rPr>
          <w:rFonts w:hint="eastAsia" w:ascii="仿宋" w:hAnsi="仿宋" w:eastAsia="仿宋" w:cs="黑体"/>
          <w:b w:val="0"/>
          <w:bCs w:val="0"/>
          <w:color w:val="auto"/>
          <w:sz w:val="32"/>
          <w:szCs w:val="32"/>
          <w:highlight w:val="none"/>
        </w:rPr>
      </w:pPr>
      <w:r>
        <w:rPr>
          <w:rFonts w:hint="eastAsia" w:ascii="楷体" w:hAnsi="楷体" w:eastAsia="楷体" w:cs="楷体"/>
          <w:b/>
          <w:bCs/>
          <w:color w:val="auto"/>
          <w:sz w:val="32"/>
          <w:szCs w:val="32"/>
          <w:highlight w:val="none"/>
          <w:lang w:val="en-US" w:eastAsia="zh-CN"/>
        </w:rPr>
        <w:t>2.</w:t>
      </w:r>
      <w:r>
        <w:rPr>
          <w:rFonts w:hint="eastAsia" w:ascii="楷体" w:hAnsi="楷体" w:eastAsia="楷体" w:cs="楷体"/>
          <w:b/>
          <w:bCs/>
          <w:color w:val="auto"/>
          <w:sz w:val="32"/>
          <w:szCs w:val="32"/>
          <w:highlight w:val="none"/>
          <w:lang w:val="zh-CN"/>
        </w:rPr>
        <w:t>支持生产环节。</w:t>
      </w:r>
      <w:r>
        <w:rPr>
          <w:rFonts w:hint="eastAsia" w:ascii="仿宋" w:hAnsi="仿宋" w:eastAsia="仿宋" w:cs="黑体"/>
          <w:b w:val="0"/>
          <w:bCs w:val="0"/>
          <w:color w:val="auto"/>
          <w:sz w:val="32"/>
          <w:szCs w:val="32"/>
          <w:highlight w:val="none"/>
        </w:rPr>
        <w:t>支持开展绿色种养循环、高质高效设施农业标准化基地创建。鼓励各类农业新型经营主体积极开展绿色有机认证、富硒认证和地理标志创建认定。</w:t>
      </w:r>
    </w:p>
    <w:p>
      <w:pPr>
        <w:pStyle w:val="4"/>
        <w:keepNext w:val="0"/>
        <w:keepLines w:val="0"/>
        <w:pageBreakBefore w:val="0"/>
        <w:numPr>
          <w:ilvl w:val="0"/>
          <w:numId w:val="0"/>
        </w:numPr>
        <w:kinsoku/>
        <w:wordWrap/>
        <w:overflowPunct/>
        <w:topLinePunct w:val="0"/>
        <w:autoSpaceDE/>
        <w:autoSpaceDN/>
        <w:bidi w:val="0"/>
        <w:adjustRightInd/>
        <w:snapToGrid w:val="0"/>
        <w:spacing w:after="0" w:line="600" w:lineRule="exact"/>
        <w:ind w:firstLine="683" w:firstLineChars="0"/>
        <w:rPr>
          <w:rFonts w:hint="eastAsia" w:ascii="仿宋" w:hAnsi="仿宋" w:eastAsia="仿宋" w:cs="黑体"/>
          <w:b w:val="0"/>
          <w:bCs w:val="0"/>
          <w:color w:val="auto"/>
          <w:sz w:val="32"/>
          <w:szCs w:val="32"/>
          <w:highlight w:val="none"/>
        </w:rPr>
      </w:pPr>
      <w:r>
        <w:rPr>
          <w:rFonts w:hint="eastAsia" w:ascii="楷体" w:hAnsi="楷体" w:eastAsia="楷体" w:cs="楷体"/>
          <w:b/>
          <w:bCs/>
          <w:color w:val="auto"/>
          <w:kern w:val="2"/>
          <w:sz w:val="32"/>
          <w:szCs w:val="32"/>
          <w:lang w:val="en-US" w:eastAsia="zh-CN" w:bidi="ar-SA"/>
        </w:rPr>
        <w:t>2.</w:t>
      </w:r>
      <w:r>
        <w:rPr>
          <w:rFonts w:hint="eastAsia" w:ascii="楷体" w:hAnsi="楷体" w:eastAsia="楷体" w:cs="楷体"/>
          <w:b/>
          <w:bCs/>
          <w:color w:val="auto"/>
          <w:sz w:val="32"/>
          <w:szCs w:val="32"/>
          <w:highlight w:val="none"/>
          <w:lang w:val="zh-CN"/>
        </w:rPr>
        <w:t>支持加工环节。</w:t>
      </w:r>
      <w:r>
        <w:rPr>
          <w:rFonts w:hint="eastAsia" w:ascii="仿宋" w:hAnsi="仿宋" w:eastAsia="仿宋" w:cs="黑体"/>
          <w:b w:val="0"/>
          <w:bCs w:val="0"/>
          <w:color w:val="auto"/>
          <w:sz w:val="32"/>
          <w:szCs w:val="32"/>
          <w:highlight w:val="none"/>
        </w:rPr>
        <w:t>鼓励市级以上农业龙头企业围绕地方优势特色产业开展农产品加工项目建设，推动生产装备升级改造，提升加工技术应用。加大对农业产业化加工龙头企业贷款贴息</w:t>
      </w:r>
      <w:r>
        <w:rPr>
          <w:rFonts w:hint="eastAsia" w:ascii="仿宋" w:hAnsi="仿宋" w:eastAsia="仿宋" w:cs="黑体"/>
          <w:b w:val="0"/>
          <w:bCs w:val="0"/>
          <w:color w:val="auto"/>
          <w:sz w:val="32"/>
          <w:szCs w:val="32"/>
          <w:highlight w:val="none"/>
          <w:lang w:eastAsia="zh-CN"/>
        </w:rPr>
        <w:t>。</w:t>
      </w:r>
    </w:p>
    <w:p>
      <w:pPr>
        <w:pStyle w:val="4"/>
        <w:keepNext w:val="0"/>
        <w:keepLines w:val="0"/>
        <w:pageBreakBefore w:val="0"/>
        <w:numPr>
          <w:ilvl w:val="0"/>
          <w:numId w:val="0"/>
        </w:numPr>
        <w:kinsoku/>
        <w:wordWrap/>
        <w:overflowPunct/>
        <w:topLinePunct w:val="0"/>
        <w:autoSpaceDE/>
        <w:autoSpaceDN/>
        <w:bidi w:val="0"/>
        <w:adjustRightInd/>
        <w:snapToGrid w:val="0"/>
        <w:spacing w:after="0" w:line="600" w:lineRule="exact"/>
        <w:ind w:firstLine="683" w:firstLineChars="0"/>
        <w:rPr>
          <w:rFonts w:hint="eastAsia" w:ascii="仿宋" w:hAnsi="仿宋" w:eastAsia="仿宋" w:cs="黑体"/>
          <w:b w:val="0"/>
          <w:bCs w:val="0"/>
          <w:color w:val="auto"/>
          <w:sz w:val="32"/>
          <w:szCs w:val="32"/>
          <w:highlight w:val="none"/>
        </w:rPr>
      </w:pPr>
      <w:r>
        <w:rPr>
          <w:rFonts w:hint="eastAsia" w:ascii="楷体" w:hAnsi="楷体" w:eastAsia="楷体" w:cs="楷体"/>
          <w:b/>
          <w:bCs/>
          <w:color w:val="auto"/>
          <w:kern w:val="2"/>
          <w:sz w:val="32"/>
          <w:szCs w:val="32"/>
          <w:lang w:val="en-US" w:eastAsia="zh-CN" w:bidi="ar-SA"/>
        </w:rPr>
        <w:t>3.</w:t>
      </w:r>
      <w:r>
        <w:rPr>
          <w:rFonts w:hint="eastAsia" w:ascii="楷体" w:hAnsi="楷体" w:eastAsia="楷体" w:cs="楷体"/>
          <w:b/>
          <w:bCs/>
          <w:color w:val="auto"/>
          <w:sz w:val="32"/>
          <w:szCs w:val="32"/>
          <w:highlight w:val="none"/>
          <w:lang w:val="zh-CN"/>
        </w:rPr>
        <w:t>支持品牌培育。</w:t>
      </w:r>
      <w:r>
        <w:rPr>
          <w:rFonts w:hint="eastAsia" w:ascii="仿宋" w:hAnsi="仿宋" w:eastAsia="仿宋" w:cs="黑体"/>
          <w:b w:val="0"/>
          <w:bCs w:val="0"/>
          <w:color w:val="auto"/>
          <w:sz w:val="32"/>
          <w:szCs w:val="32"/>
          <w:highlight w:val="none"/>
        </w:rPr>
        <w:t>对入选中国农业品牌名录、全省农产品品牌100强、"赣鄱正品"新认证品牌主体给予扶持，培育更多地方特色品牌。</w:t>
      </w:r>
    </w:p>
    <w:p>
      <w:pPr>
        <w:pStyle w:val="4"/>
        <w:keepNext w:val="0"/>
        <w:keepLines w:val="0"/>
        <w:pageBreakBefore w:val="0"/>
        <w:numPr>
          <w:ilvl w:val="0"/>
          <w:numId w:val="0"/>
        </w:numPr>
        <w:kinsoku/>
        <w:wordWrap/>
        <w:overflowPunct/>
        <w:topLinePunct w:val="0"/>
        <w:autoSpaceDE/>
        <w:autoSpaceDN/>
        <w:bidi w:val="0"/>
        <w:adjustRightInd/>
        <w:snapToGrid w:val="0"/>
        <w:spacing w:after="0" w:line="600" w:lineRule="exact"/>
        <w:ind w:firstLine="683" w:firstLineChars="0"/>
        <w:rPr>
          <w:rFonts w:ascii="仿宋" w:hAnsi="仿宋" w:eastAsia="仿宋" w:cs="仿宋_GB2312"/>
          <w:bCs/>
          <w:color w:val="auto"/>
          <w:sz w:val="32"/>
          <w:szCs w:val="32"/>
          <w:highlight w:val="none"/>
        </w:rPr>
      </w:pPr>
      <w:r>
        <w:rPr>
          <w:rFonts w:hint="eastAsia" w:ascii="楷体" w:hAnsi="楷体" w:eastAsia="楷体" w:cs="楷体"/>
          <w:b/>
          <w:bCs/>
          <w:color w:val="auto"/>
          <w:kern w:val="2"/>
          <w:sz w:val="32"/>
          <w:szCs w:val="32"/>
          <w:lang w:val="en-US" w:eastAsia="zh-CN" w:bidi="ar-SA"/>
        </w:rPr>
        <w:t>4.</w:t>
      </w:r>
      <w:r>
        <w:rPr>
          <w:rFonts w:hint="eastAsia" w:ascii="楷体" w:hAnsi="楷体" w:eastAsia="楷体" w:cs="楷体"/>
          <w:b/>
          <w:bCs/>
          <w:color w:val="auto"/>
          <w:sz w:val="32"/>
          <w:szCs w:val="32"/>
          <w:highlight w:val="none"/>
          <w:lang w:val="zh-CN"/>
        </w:rPr>
        <w:t>强化金融支持。</w:t>
      </w:r>
      <w:r>
        <w:rPr>
          <w:rFonts w:hint="eastAsia" w:ascii="仿宋" w:hAnsi="仿宋" w:eastAsia="仿宋" w:cs="黑体"/>
          <w:b w:val="0"/>
          <w:bCs w:val="0"/>
          <w:color w:val="auto"/>
          <w:sz w:val="32"/>
          <w:szCs w:val="32"/>
          <w:highlight w:val="none"/>
        </w:rPr>
        <w:t>加强金融机构开发适合农业特色产业发展的金融贷款产品，持续发挥"财政惠农信贷通"等支农功能。实施好各项政策性农业保险和特色农业保障，持续增强保险品种覆盖范围，提高农业产业抵御风险能力。 </w:t>
      </w:r>
    </w:p>
    <w:p>
      <w:pPr>
        <w:pStyle w:val="4"/>
        <w:keepNext w:val="0"/>
        <w:keepLines w:val="0"/>
        <w:pageBreakBefore w:val="0"/>
        <w:numPr>
          <w:ilvl w:val="0"/>
          <w:numId w:val="0"/>
        </w:numPr>
        <w:kinsoku/>
        <w:wordWrap/>
        <w:overflowPunct/>
        <w:topLinePunct w:val="0"/>
        <w:autoSpaceDE/>
        <w:autoSpaceDN/>
        <w:bidi w:val="0"/>
        <w:adjustRightInd/>
        <w:snapToGrid w:val="0"/>
        <w:spacing w:after="0" w:line="600" w:lineRule="exact"/>
        <w:ind w:firstLine="683" w:firstLineChars="0"/>
        <w:rPr>
          <w:rFonts w:hint="eastAsia" w:ascii="仿宋" w:hAnsi="仿宋" w:eastAsia="仿宋" w:cs="黑体"/>
          <w:b w:val="0"/>
          <w:bCs w:val="0"/>
          <w:color w:val="auto"/>
          <w:sz w:val="32"/>
          <w:szCs w:val="32"/>
          <w:highlight w:val="none"/>
        </w:rPr>
      </w:pPr>
      <w:r>
        <w:rPr>
          <w:rFonts w:hint="eastAsia" w:ascii="楷体" w:hAnsi="楷体" w:eastAsia="楷体" w:cs="楷体"/>
          <w:b/>
          <w:bCs/>
          <w:color w:val="auto"/>
          <w:kern w:val="2"/>
          <w:sz w:val="32"/>
          <w:szCs w:val="32"/>
          <w:lang w:val="en-US" w:eastAsia="zh-CN" w:bidi="ar-SA"/>
        </w:rPr>
        <w:t>5.</w:t>
      </w:r>
      <w:r>
        <w:rPr>
          <w:rFonts w:hint="eastAsia" w:ascii="楷体" w:hAnsi="楷体" w:eastAsia="楷体" w:cs="楷体"/>
          <w:b/>
          <w:bCs/>
          <w:color w:val="auto"/>
          <w:kern w:val="2"/>
          <w:sz w:val="32"/>
          <w:szCs w:val="32"/>
          <w:lang w:val="zh-CN" w:eastAsia="zh-CN" w:bidi="ar-SA"/>
        </w:rPr>
        <w:t>强</w:t>
      </w:r>
      <w:r>
        <w:rPr>
          <w:rFonts w:hint="eastAsia" w:ascii="楷体" w:hAnsi="楷体" w:eastAsia="楷体" w:cs="楷体"/>
          <w:b/>
          <w:bCs/>
          <w:color w:val="auto"/>
          <w:sz w:val="32"/>
          <w:szCs w:val="32"/>
          <w:highlight w:val="none"/>
          <w:lang w:val="zh-CN"/>
        </w:rPr>
        <w:t>化用地支持。</w:t>
      </w:r>
      <w:r>
        <w:rPr>
          <w:rFonts w:hint="eastAsia" w:ascii="仿宋" w:hAnsi="仿宋" w:eastAsia="仿宋" w:cs="仿宋_GB2312"/>
          <w:color w:val="auto"/>
          <w:sz w:val="32"/>
          <w:szCs w:val="32"/>
          <w:highlight w:val="none"/>
        </w:rPr>
        <w:t>落实农村产业融合发展用地优惠政策，对省级农业产业化龙头企业和具有发展潜力的市、县级农业产业化龙头企业建设用地，优先安排、优先审批，按照规定享受土地规费相关优惠政策。</w:t>
      </w:r>
      <w:r>
        <w:rPr>
          <w:rFonts w:hint="eastAsia" w:ascii="仿宋" w:hAnsi="仿宋" w:eastAsia="仿宋" w:cs="仿宋_GB2312"/>
          <w:bCs/>
          <w:color w:val="auto"/>
          <w:sz w:val="32"/>
          <w:szCs w:val="32"/>
          <w:highlight w:val="none"/>
        </w:rPr>
        <w:t>对农业龙头企业、休闲农业等生产经营主体实施农业产业项目，有农业建设用地需求，主动协助生产经营主体解决用地需求。</w:t>
      </w:r>
    </w:p>
    <w:p>
      <w:pPr>
        <w:pStyle w:val="4"/>
        <w:keepNext w:val="0"/>
        <w:keepLines w:val="0"/>
        <w:pageBreakBefore w:val="0"/>
        <w:kinsoku/>
        <w:wordWrap/>
        <w:overflowPunct/>
        <w:topLinePunct w:val="0"/>
        <w:autoSpaceDE/>
        <w:autoSpaceDN/>
        <w:bidi w:val="0"/>
        <w:adjustRightInd/>
        <w:snapToGrid w:val="0"/>
        <w:spacing w:after="0" w:line="600" w:lineRule="exact"/>
        <w:ind w:firstLine="683"/>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五、保障措施</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baseline"/>
        <w:rPr>
          <w:rFonts w:ascii="仿宋" w:hAnsi="仿宋" w:eastAsia="仿宋" w:cs="仿宋_GB2312"/>
          <w:color w:val="auto"/>
          <w:sz w:val="32"/>
          <w:szCs w:val="32"/>
          <w:highlight w:val="none"/>
        </w:rPr>
      </w:pPr>
      <w:r>
        <w:rPr>
          <w:rFonts w:hint="eastAsia" w:ascii="楷体" w:hAnsi="楷体" w:eastAsia="楷体" w:cs="楷体"/>
          <w:b/>
          <w:bCs/>
          <w:color w:val="auto"/>
          <w:sz w:val="32"/>
          <w:szCs w:val="32"/>
          <w:highlight w:val="none"/>
        </w:rPr>
        <w:t>1.强化组织领导。</w:t>
      </w:r>
      <w:r>
        <w:rPr>
          <w:rFonts w:hint="eastAsia" w:ascii="仿宋" w:hAnsi="仿宋" w:eastAsia="仿宋" w:cs="仿宋_GB2312"/>
          <w:color w:val="auto"/>
          <w:sz w:val="32"/>
          <w:szCs w:val="32"/>
          <w:highlight w:val="none"/>
        </w:rPr>
        <w:t>将昌江区提升农业产业化发展水平三年行动工作列入区委农村工作（乡村振兴工作）领导小组重要内容。各街道（乡、镇）要建立组织协调机制，结合当地优势特色，细化工作方案，打造农业特色产业单项冠军，形成上下贯通、多级联动的推进机制。</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rPr>
          <w:rFonts w:ascii="仿宋" w:hAnsi="仿宋" w:eastAsia="仿宋" w:cs="仿宋_GB2312"/>
          <w:color w:val="auto"/>
          <w:sz w:val="32"/>
          <w:szCs w:val="32"/>
          <w:highlight w:val="none"/>
        </w:rPr>
      </w:pPr>
      <w:r>
        <w:rPr>
          <w:rFonts w:hint="eastAsia" w:ascii="楷体" w:hAnsi="楷体" w:eastAsia="楷体" w:cs="楷体"/>
          <w:b/>
          <w:bCs/>
          <w:color w:val="auto"/>
          <w:kern w:val="2"/>
          <w:sz w:val="32"/>
          <w:szCs w:val="32"/>
          <w:lang w:val="en-US" w:eastAsia="zh-CN" w:bidi="ar-SA"/>
        </w:rPr>
        <w:t>2.强</w:t>
      </w:r>
      <w:r>
        <w:rPr>
          <w:rFonts w:hint="eastAsia" w:ascii="楷体" w:hAnsi="楷体" w:eastAsia="楷体" w:cs="楷体"/>
          <w:b/>
          <w:bCs/>
          <w:color w:val="auto"/>
          <w:sz w:val="32"/>
          <w:szCs w:val="32"/>
          <w:highlight w:val="none"/>
        </w:rPr>
        <w:t>化要素集聚。</w:t>
      </w:r>
      <w:r>
        <w:rPr>
          <w:rFonts w:hint="eastAsia" w:ascii="仿宋" w:hAnsi="仿宋" w:eastAsia="仿宋" w:cs="仿宋_GB2312"/>
          <w:color w:val="auto"/>
          <w:sz w:val="32"/>
          <w:szCs w:val="32"/>
          <w:highlight w:val="none"/>
        </w:rPr>
        <w:t>聚焦重点农业特色产业,全力招大引强,引进重大项目,树立特色品牌,促进融合发展。引导和撬动社会资本，鼓励参与现代农业、产业融合和农村基础设施等建设。统筹推进涉农资金、农业立项审批、土地审批、环评等各项要素政策到位。</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ascii="仿宋" w:hAnsi="仿宋" w:eastAsia="仿宋" w:cs="仿宋_GB2312"/>
          <w:b/>
          <w:bCs/>
          <w:color w:val="auto"/>
          <w:sz w:val="32"/>
          <w:szCs w:val="32"/>
          <w:highlight w:val="none"/>
        </w:rPr>
      </w:pPr>
      <w:r>
        <w:rPr>
          <w:rFonts w:hint="eastAsia" w:ascii="楷体" w:hAnsi="楷体" w:eastAsia="楷体" w:cs="楷体"/>
          <w:b/>
          <w:bCs/>
          <w:color w:val="auto"/>
          <w:sz w:val="32"/>
          <w:szCs w:val="32"/>
          <w:highlight w:val="none"/>
        </w:rPr>
        <w:t>3.强化项目管理。</w:t>
      </w:r>
      <w:r>
        <w:rPr>
          <w:rFonts w:hint="eastAsia" w:ascii="仿宋" w:hAnsi="仿宋" w:eastAsia="仿宋" w:cs="仿宋_GB2312"/>
          <w:color w:val="auto"/>
          <w:sz w:val="32"/>
          <w:szCs w:val="32"/>
          <w:highlight w:val="none"/>
        </w:rPr>
        <w:t>建立健全项目管理制度,每年根据政策导向，建立项目储备库，实行清单式动态化管理。项目申报、实施验收、资金兑付、监督绩效等工作实行属地落实责任，强化项目资金管理做到公开公平公正。</w:t>
      </w:r>
    </w:p>
    <w:p>
      <w:pPr>
        <w:keepNext w:val="0"/>
        <w:keepLines w:val="0"/>
        <w:pageBreakBefore w:val="0"/>
        <w:kinsoku/>
        <w:wordWrap/>
        <w:overflowPunct/>
        <w:topLinePunct w:val="0"/>
        <w:autoSpaceDE/>
        <w:autoSpaceDN/>
        <w:bidi w:val="0"/>
        <w:adjustRightInd/>
        <w:spacing w:line="600" w:lineRule="exact"/>
        <w:ind w:firstLine="640" w:firstLineChars="200"/>
        <w:rPr>
          <w:rFonts w:ascii="仿宋" w:hAnsi="仿宋" w:eastAsia="仿宋" w:cs="仿宋_GB2312"/>
          <w:color w:val="auto"/>
          <w:sz w:val="32"/>
          <w:szCs w:val="32"/>
          <w:highlight w:val="none"/>
        </w:rPr>
      </w:pPr>
      <w:r>
        <w:rPr>
          <w:rFonts w:hint="eastAsia" w:ascii="楷体" w:hAnsi="楷体" w:eastAsia="楷体" w:cs="楷体"/>
          <w:b/>
          <w:bCs/>
          <w:color w:val="auto"/>
          <w:sz w:val="32"/>
          <w:szCs w:val="32"/>
          <w:highlight w:val="none"/>
        </w:rPr>
        <w:t>4.强化督导考核。</w:t>
      </w:r>
      <w:r>
        <w:rPr>
          <w:rFonts w:hint="eastAsia" w:ascii="仿宋" w:hAnsi="仿宋" w:eastAsia="仿宋" w:cs="仿宋_GB2312"/>
          <w:color w:val="auto"/>
          <w:sz w:val="32"/>
          <w:szCs w:val="32"/>
          <w:highlight w:val="none"/>
        </w:rPr>
        <w:t>将昌江区提升农业产业化发展水平三年行动工作列入全区农业农村工作重点任务，纳入全面推进乡村振兴行动考核内容，考核结果作为街道(乡、镇)年度综合考核的重要依据。</w:t>
      </w:r>
    </w:p>
    <w:p>
      <w:pPr>
        <w:pStyle w:val="15"/>
        <w:ind w:left="0" w:leftChars="0"/>
        <w:rPr>
          <w:rFonts w:ascii="宋体" w:hAnsi="宋体" w:eastAsia="仿宋_GB2312" w:cs="仿宋_GB2312"/>
          <w:color w:val="auto"/>
          <w:sz w:val="34"/>
          <w:szCs w:val="34"/>
          <w:highlight w:val="none"/>
        </w:rPr>
      </w:pPr>
    </w:p>
    <w:p>
      <w:pPr>
        <w:rPr>
          <w:rFonts w:ascii="宋体" w:hAnsi="宋体" w:eastAsia="仿宋_GB2312" w:cs="仿宋_GB2312"/>
          <w:color w:val="auto"/>
          <w:sz w:val="34"/>
          <w:szCs w:val="34"/>
          <w:highlight w:val="none"/>
        </w:rPr>
      </w:pPr>
    </w:p>
    <w:p>
      <w:pPr>
        <w:pStyle w:val="15"/>
        <w:ind w:left="0" w:leftChars="0"/>
        <w:rPr>
          <w:color w:val="auto"/>
          <w:highlight w:val="none"/>
        </w:rPr>
      </w:pPr>
    </w:p>
    <w:p>
      <w:pPr>
        <w:rPr>
          <w:color w:val="auto"/>
          <w:highlight w:val="none"/>
        </w:rPr>
      </w:pPr>
    </w:p>
    <w:p>
      <w:pPr>
        <w:pStyle w:val="2"/>
        <w:rPr>
          <w:color w:val="auto"/>
          <w:highlight w:val="none"/>
        </w:rPr>
      </w:pPr>
    </w:p>
    <w:p>
      <w:pPr>
        <w:pStyle w:val="5"/>
        <w:rPr>
          <w:color w:val="auto"/>
          <w:highlight w:val="none"/>
        </w:rPr>
      </w:pPr>
    </w:p>
    <w:p>
      <w:pPr>
        <w:rPr>
          <w:color w:val="auto"/>
          <w:highlight w:val="none"/>
        </w:rPr>
      </w:pPr>
    </w:p>
    <w:p>
      <w:pPr>
        <w:pStyle w:val="2"/>
        <w:rPr>
          <w:color w:val="auto"/>
          <w:highlight w:val="none"/>
        </w:rPr>
      </w:pPr>
    </w:p>
    <w:p>
      <w:pPr>
        <w:pStyle w:val="5"/>
        <w:rPr>
          <w:color w:val="auto"/>
          <w:highlight w:val="none"/>
        </w:rPr>
      </w:pPr>
    </w:p>
    <w:p>
      <w:pPr>
        <w:rPr>
          <w:color w:val="auto"/>
          <w:highlight w:val="none"/>
        </w:rPr>
      </w:pPr>
    </w:p>
    <w:p>
      <w:pPr>
        <w:pStyle w:val="2"/>
        <w:rPr>
          <w:color w:val="auto"/>
          <w:highlight w:val="none"/>
        </w:rPr>
      </w:pPr>
    </w:p>
    <w:p>
      <w:pPr>
        <w:pStyle w:val="5"/>
        <w:rPr>
          <w:color w:val="auto"/>
          <w:highlight w:val="none"/>
        </w:rPr>
      </w:pPr>
    </w:p>
    <w:p>
      <w:pPr>
        <w:sectPr>
          <w:footerReference r:id="rId20" w:type="default"/>
          <w:pgSz w:w="11906" w:h="16838"/>
          <w:pgMar w:top="1440" w:right="1230" w:bottom="1157" w:left="1457" w:header="851" w:footer="992" w:gutter="0"/>
          <w:pgNumType w:fmt="decimal"/>
          <w:cols w:space="720" w:num="1"/>
          <w:docGrid w:type="linesAndChars" w:linePitch="319" w:charSpace="0"/>
        </w:sectPr>
      </w:pPr>
    </w:p>
    <w:p>
      <w:pPr>
        <w:pStyle w:val="15"/>
        <w:ind w:left="0" w:leftChars="0"/>
        <w:jc w:val="left"/>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附件2</w:t>
      </w:r>
    </w:p>
    <w:p>
      <w:pPr>
        <w:pStyle w:val="4"/>
        <w:spacing w:after="0" w:line="62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农业七大产业综合产值目标任务及</w:t>
      </w:r>
    </w:p>
    <w:p>
      <w:pPr>
        <w:pStyle w:val="4"/>
        <w:spacing w:after="0" w:line="62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重点任务指标分解表</w:t>
      </w:r>
    </w:p>
    <w:tbl>
      <w:tblPr>
        <w:tblStyle w:val="20"/>
        <w:tblpPr w:leftFromText="180" w:rightFromText="180" w:vertAnchor="text" w:horzAnchor="page" w:tblpXSpec="center" w:tblpY="1090"/>
        <w:tblOverlap w:val="never"/>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4350"/>
        <w:gridCol w:w="1005"/>
        <w:gridCol w:w="115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680" w:type="dxa"/>
            <w:noWrap/>
            <w:vAlign w:val="center"/>
          </w:tcPr>
          <w:p>
            <w:pPr>
              <w:pStyle w:val="4"/>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简体" w:hAnsi="方正小标宋简体" w:eastAsia="方正小标宋简体" w:cs="方正小标宋简体"/>
                <w:b w:val="0"/>
                <w:bCs w:val="0"/>
                <w:color w:val="auto"/>
                <w:sz w:val="24"/>
                <w:szCs w:val="24"/>
                <w:highlight w:val="none"/>
              </w:rPr>
            </w:pPr>
            <w:r>
              <w:rPr>
                <w:rFonts w:hint="eastAsia" w:ascii="方正小标宋简体" w:hAnsi="方正小标宋简体" w:eastAsia="方正小标宋简体" w:cs="方正小标宋简体"/>
                <w:b w:val="0"/>
                <w:bCs w:val="0"/>
                <w:color w:val="auto"/>
                <w:sz w:val="24"/>
                <w:szCs w:val="24"/>
                <w:highlight w:val="none"/>
              </w:rPr>
              <w:t>昌江区</w:t>
            </w:r>
          </w:p>
        </w:tc>
        <w:tc>
          <w:tcPr>
            <w:tcW w:w="4350" w:type="dxa"/>
            <w:vAlign w:val="center"/>
          </w:tcPr>
          <w:p>
            <w:pPr>
              <w:pStyle w:val="4"/>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简体" w:hAnsi="方正小标宋简体" w:eastAsia="方正小标宋简体" w:cs="方正小标宋简体"/>
                <w:b w:val="0"/>
                <w:bCs w:val="0"/>
                <w:color w:val="auto"/>
                <w:sz w:val="24"/>
                <w:szCs w:val="24"/>
                <w:highlight w:val="none"/>
              </w:rPr>
            </w:pPr>
            <w:r>
              <w:rPr>
                <w:rFonts w:hint="eastAsia" w:ascii="方正小标宋简体" w:hAnsi="方正小标宋简体" w:eastAsia="方正小标宋简体" w:cs="方正小标宋简体"/>
                <w:b w:val="0"/>
                <w:bCs w:val="0"/>
                <w:color w:val="auto"/>
                <w:sz w:val="24"/>
                <w:szCs w:val="24"/>
                <w:highlight w:val="none"/>
              </w:rPr>
              <w:t>年度指标</w:t>
            </w:r>
          </w:p>
        </w:tc>
        <w:tc>
          <w:tcPr>
            <w:tcW w:w="1005" w:type="dxa"/>
            <w:vAlign w:val="center"/>
          </w:tcPr>
          <w:p>
            <w:pPr>
              <w:pStyle w:val="4"/>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简体" w:hAnsi="方正小标宋简体" w:eastAsia="方正小标宋简体" w:cs="方正小标宋简体"/>
                <w:b w:val="0"/>
                <w:bCs w:val="0"/>
                <w:color w:val="auto"/>
                <w:sz w:val="24"/>
                <w:szCs w:val="24"/>
                <w:highlight w:val="none"/>
              </w:rPr>
            </w:pPr>
            <w:r>
              <w:rPr>
                <w:rFonts w:hint="eastAsia" w:ascii="方正小标宋简体" w:hAnsi="方正小标宋简体" w:eastAsia="方正小标宋简体" w:cs="方正小标宋简体"/>
                <w:b w:val="0"/>
                <w:bCs w:val="0"/>
                <w:color w:val="auto"/>
                <w:sz w:val="24"/>
                <w:szCs w:val="24"/>
                <w:highlight w:val="none"/>
              </w:rPr>
              <w:t>2023年</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简体" w:hAnsi="方正小标宋简体" w:eastAsia="方正小标宋简体" w:cs="方正小标宋简体"/>
                <w:b w:val="0"/>
                <w:bCs w:val="0"/>
                <w:color w:val="auto"/>
                <w:sz w:val="24"/>
                <w:szCs w:val="24"/>
                <w:highlight w:val="none"/>
              </w:rPr>
            </w:pPr>
            <w:r>
              <w:rPr>
                <w:rFonts w:hint="eastAsia" w:ascii="方正小标宋简体" w:hAnsi="方正小标宋简体" w:eastAsia="方正小标宋简体" w:cs="方正小标宋简体"/>
                <w:b w:val="0"/>
                <w:bCs w:val="0"/>
                <w:color w:val="auto"/>
                <w:sz w:val="24"/>
                <w:szCs w:val="24"/>
                <w:highlight w:val="none"/>
              </w:rPr>
              <w:t>2024年</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简体" w:hAnsi="方正小标宋简体" w:eastAsia="方正小标宋简体" w:cs="方正小标宋简体"/>
                <w:b w:val="0"/>
                <w:bCs w:val="0"/>
                <w:color w:val="auto"/>
                <w:sz w:val="24"/>
                <w:szCs w:val="24"/>
                <w:highlight w:val="none"/>
              </w:rPr>
            </w:pPr>
            <w:r>
              <w:rPr>
                <w:rFonts w:hint="eastAsia" w:ascii="方正小标宋简体" w:hAnsi="方正小标宋简体" w:eastAsia="方正小标宋简体" w:cs="方正小标宋简体"/>
                <w:b w:val="0"/>
                <w:bCs w:val="0"/>
                <w:color w:val="auto"/>
                <w:sz w:val="24"/>
                <w:szCs w:val="24"/>
                <w:highlight w:val="none"/>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680" w:type="dxa"/>
            <w:vMerge w:val="restart"/>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r>
              <w:rPr>
                <w:rFonts w:hint="eastAsia" w:ascii="方正小标宋简体" w:hAnsi="方正小标宋简体" w:eastAsia="方正小标宋简体" w:cs="方正小标宋简体"/>
                <w:b w:val="0"/>
                <w:bCs w:val="0"/>
                <w:color w:val="auto"/>
                <w:sz w:val="24"/>
                <w:highlight w:val="none"/>
              </w:rPr>
              <w:t>农业七大产业综合产值目标任务（单位：亿元）</w:t>
            </w:r>
          </w:p>
        </w:tc>
        <w:tc>
          <w:tcPr>
            <w:tcW w:w="4350" w:type="dxa"/>
            <w:noWrap/>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综合产值（七大产业和其它产业）</w:t>
            </w:r>
          </w:p>
        </w:tc>
        <w:tc>
          <w:tcPr>
            <w:tcW w:w="100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17.2</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19.2</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80" w:type="dxa"/>
            <w:vMerge w:val="continue"/>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tc>
        <w:tc>
          <w:tcPr>
            <w:tcW w:w="4350" w:type="dxa"/>
            <w:noWrap/>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稻米</w:t>
            </w:r>
          </w:p>
        </w:tc>
        <w:tc>
          <w:tcPr>
            <w:tcW w:w="100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1.55</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1.58</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80" w:type="dxa"/>
            <w:vMerge w:val="continue"/>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tc>
        <w:tc>
          <w:tcPr>
            <w:tcW w:w="4350" w:type="dxa"/>
            <w:noWrap/>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油料</w:t>
            </w:r>
          </w:p>
        </w:tc>
        <w:tc>
          <w:tcPr>
            <w:tcW w:w="100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1.3</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1.55</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80" w:type="dxa"/>
            <w:vMerge w:val="continue"/>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tc>
        <w:tc>
          <w:tcPr>
            <w:tcW w:w="4350" w:type="dxa"/>
            <w:noWrap/>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果蔬</w:t>
            </w:r>
          </w:p>
        </w:tc>
        <w:tc>
          <w:tcPr>
            <w:tcW w:w="100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2.15</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2.56</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80" w:type="dxa"/>
            <w:vMerge w:val="continue"/>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tc>
        <w:tc>
          <w:tcPr>
            <w:tcW w:w="4350" w:type="dxa"/>
            <w:noWrap/>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畜牧</w:t>
            </w:r>
          </w:p>
        </w:tc>
        <w:tc>
          <w:tcPr>
            <w:tcW w:w="100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8.42</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9.33</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80" w:type="dxa"/>
            <w:vMerge w:val="continue"/>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tc>
        <w:tc>
          <w:tcPr>
            <w:tcW w:w="4350" w:type="dxa"/>
            <w:noWrap/>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水产</w:t>
            </w:r>
          </w:p>
        </w:tc>
        <w:tc>
          <w:tcPr>
            <w:tcW w:w="100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1.09</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1.09</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80" w:type="dxa"/>
            <w:vMerge w:val="continue"/>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tc>
        <w:tc>
          <w:tcPr>
            <w:tcW w:w="4350" w:type="dxa"/>
            <w:noWrap/>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茶叶</w:t>
            </w:r>
          </w:p>
        </w:tc>
        <w:tc>
          <w:tcPr>
            <w:tcW w:w="100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0.08</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0.1</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80" w:type="dxa"/>
            <w:vMerge w:val="continue"/>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tc>
        <w:tc>
          <w:tcPr>
            <w:tcW w:w="4350" w:type="dxa"/>
            <w:noWrap/>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中药材</w:t>
            </w:r>
          </w:p>
        </w:tc>
        <w:tc>
          <w:tcPr>
            <w:tcW w:w="100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0.15</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0.17</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80" w:type="dxa"/>
            <w:vMerge w:val="restart"/>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r>
              <w:rPr>
                <w:rFonts w:hint="eastAsia" w:ascii="方正小标宋简体" w:hAnsi="方正小标宋简体" w:eastAsia="方正小标宋简体" w:cs="方正小标宋简体"/>
                <w:b w:val="0"/>
                <w:bCs w:val="0"/>
                <w:color w:val="auto"/>
                <w:sz w:val="24"/>
                <w:highlight w:val="none"/>
              </w:rPr>
              <w:t>重点任务指标</w:t>
            </w:r>
          </w:p>
        </w:tc>
        <w:tc>
          <w:tcPr>
            <w:tcW w:w="4350"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超10亿元农业产业化省级龙头企业数量（家）</w:t>
            </w:r>
          </w:p>
        </w:tc>
        <w:tc>
          <w:tcPr>
            <w:tcW w:w="100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0" w:type="dxa"/>
            <w:vMerge w:val="continue"/>
          </w:tcPr>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b/>
                <w:bCs/>
                <w:color w:val="auto"/>
                <w:sz w:val="24"/>
                <w:highlight w:val="none"/>
              </w:rPr>
            </w:pPr>
          </w:p>
        </w:tc>
        <w:tc>
          <w:tcPr>
            <w:tcW w:w="4350"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招商引资实际进资额（亿元）</w:t>
            </w:r>
          </w:p>
        </w:tc>
        <w:tc>
          <w:tcPr>
            <w:tcW w:w="100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2</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2</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80" w:type="dxa"/>
            <w:vMerge w:val="continue"/>
          </w:tcPr>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b/>
                <w:bCs/>
                <w:color w:val="auto"/>
                <w:sz w:val="24"/>
                <w:highlight w:val="none"/>
              </w:rPr>
            </w:pPr>
          </w:p>
        </w:tc>
        <w:tc>
          <w:tcPr>
            <w:tcW w:w="4350"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招引签约金额超10亿元项目数量（个）</w:t>
            </w:r>
          </w:p>
        </w:tc>
        <w:tc>
          <w:tcPr>
            <w:tcW w:w="100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0</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80" w:type="dxa"/>
            <w:vMerge w:val="continue"/>
          </w:tcPr>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b/>
                <w:bCs/>
                <w:color w:val="auto"/>
                <w:sz w:val="24"/>
                <w:highlight w:val="none"/>
              </w:rPr>
            </w:pPr>
          </w:p>
        </w:tc>
        <w:tc>
          <w:tcPr>
            <w:tcW w:w="4350"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农产品加工业总产值（亿元）</w:t>
            </w:r>
          </w:p>
        </w:tc>
        <w:tc>
          <w:tcPr>
            <w:tcW w:w="100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28</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35</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80" w:type="dxa"/>
            <w:vMerge w:val="continue"/>
          </w:tcPr>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b/>
                <w:bCs/>
                <w:color w:val="auto"/>
                <w:sz w:val="24"/>
                <w:highlight w:val="none"/>
              </w:rPr>
            </w:pPr>
          </w:p>
        </w:tc>
        <w:tc>
          <w:tcPr>
            <w:tcW w:w="4350"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农产品产地冷藏保鲜设施（个）</w:t>
            </w:r>
          </w:p>
        </w:tc>
        <w:tc>
          <w:tcPr>
            <w:tcW w:w="100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9</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11</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80" w:type="dxa"/>
            <w:vMerge w:val="continue"/>
          </w:tcPr>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b/>
                <w:bCs/>
                <w:color w:val="auto"/>
                <w:sz w:val="24"/>
                <w:highlight w:val="none"/>
              </w:rPr>
            </w:pPr>
          </w:p>
        </w:tc>
        <w:tc>
          <w:tcPr>
            <w:tcW w:w="4350"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绿色有机地理标志农产品数量（个）</w:t>
            </w:r>
          </w:p>
        </w:tc>
        <w:tc>
          <w:tcPr>
            <w:tcW w:w="100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19</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24</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80" w:type="dxa"/>
            <w:vMerge w:val="continue"/>
          </w:tcPr>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b/>
                <w:bCs/>
                <w:color w:val="auto"/>
                <w:sz w:val="24"/>
                <w:highlight w:val="none"/>
              </w:rPr>
            </w:pPr>
          </w:p>
        </w:tc>
        <w:tc>
          <w:tcPr>
            <w:tcW w:w="4350"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水稻机械化种植率（%）</w:t>
            </w:r>
          </w:p>
        </w:tc>
        <w:tc>
          <w:tcPr>
            <w:tcW w:w="100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38.5</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41.5</w:t>
            </w:r>
          </w:p>
        </w:tc>
        <w:tc>
          <w:tcPr>
            <w:tcW w:w="1155"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44.5</w:t>
            </w:r>
          </w:p>
        </w:tc>
      </w:tr>
    </w:tbl>
    <w:p>
      <w:pPr>
        <w:pStyle w:val="4"/>
        <w:spacing w:after="0" w:line="620" w:lineRule="exact"/>
        <w:jc w:val="both"/>
        <w:rPr>
          <w:rFonts w:cs="黑体" w:asciiTheme="majorEastAsia" w:hAnsiTheme="majorEastAsia" w:eastAsiaTheme="majorEastAsia"/>
          <w:b/>
          <w:color w:val="auto"/>
          <w:sz w:val="32"/>
          <w:szCs w:val="32"/>
          <w:highlight w:val="none"/>
        </w:rPr>
      </w:pPr>
      <w:r>
        <w:rPr>
          <w:rFonts w:hint="eastAsia" w:ascii="黑体" w:hAnsi="黑体" w:eastAsia="黑体" w:cs="黑体"/>
          <w:color w:val="auto"/>
          <w:sz w:val="36"/>
          <w:szCs w:val="36"/>
          <w:highlight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昌江区人民政府办公室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bookmarkStart w:id="0" w:name="_Hlk134805973"/>
      <w:r>
        <w:rPr>
          <w:rFonts w:hint="eastAsia" w:ascii="方正小标宋简体" w:hAnsi="方正小标宋简体" w:eastAsia="方正小标宋简体" w:cs="方正小标宋简体"/>
          <w:sz w:val="44"/>
          <w:szCs w:val="44"/>
        </w:rPr>
        <w:t>景德镇市山田水库水环境治理及灌区综合整治工程</w:t>
      </w:r>
      <w:bookmarkEnd w:id="0"/>
      <w:r>
        <w:rPr>
          <w:rFonts w:hint="eastAsia" w:ascii="方正小标宋简体" w:hAnsi="方正小标宋简体" w:eastAsia="方正小标宋简体" w:cs="方正小标宋简体"/>
          <w:sz w:val="44"/>
          <w:szCs w:val="44"/>
        </w:rPr>
        <w:t>实施方案》的通知</w:t>
      </w:r>
    </w:p>
    <w:p>
      <w:pPr>
        <w:tabs>
          <w:tab w:val="left" w:pos="6957"/>
        </w:tabs>
        <w:spacing w:line="560" w:lineRule="exact"/>
        <w:rPr>
          <w:rFonts w:ascii="仿宋_GB2312" w:eastAsia="仿宋_GB2312"/>
          <w:sz w:val="30"/>
          <w:szCs w:val="30"/>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区政府相关部门：</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经景德镇市昌江区人民政府研究同意，现将《景德镇市山田水库水环境治理及灌区综合整治工程实施方案》印发给你们，请认真遵照执行。</w:t>
      </w:r>
    </w:p>
    <w:p>
      <w:pPr>
        <w:spacing w:line="560" w:lineRule="exact"/>
        <w:ind w:firstLine="600" w:firstLineChars="200"/>
        <w:rPr>
          <w:rFonts w:eastAsia="仿宋_GB2312"/>
          <w:sz w:val="30"/>
          <w:szCs w:val="30"/>
        </w:rPr>
      </w:pPr>
    </w:p>
    <w:p>
      <w:pPr>
        <w:spacing w:line="560" w:lineRule="exact"/>
        <w:ind w:firstLine="600" w:firstLineChars="200"/>
        <w:rPr>
          <w:rFonts w:eastAsia="仿宋_GB2312"/>
          <w:sz w:val="30"/>
          <w:szCs w:val="30"/>
        </w:rPr>
      </w:pPr>
    </w:p>
    <w:p>
      <w:pPr>
        <w:adjustRightInd w:val="0"/>
        <w:snapToGrid w:val="0"/>
        <w:spacing w:line="560" w:lineRule="exact"/>
        <w:ind w:firstLine="600" w:firstLineChars="200"/>
        <w:rPr>
          <w:rFonts w:hint="eastAsia" w:ascii="仿宋" w:hAnsi="仿宋" w:eastAsia="仿宋" w:cs="仿宋"/>
          <w:color w:val="000000" w:themeColor="text1"/>
          <w:sz w:val="32"/>
          <w:szCs w:val="32"/>
        </w:rPr>
      </w:pPr>
      <w:r>
        <w:rPr>
          <w:rFonts w:hint="eastAsia" w:ascii="仿宋" w:hAnsi="仿宋" w:eastAsia="仿宋" w:cs="仿宋_GB2312"/>
          <w:sz w:val="30"/>
          <w:szCs w:val="30"/>
        </w:rPr>
        <w:t xml:space="preserve">                         </w:t>
      </w:r>
      <w:r>
        <w:rPr>
          <w:rFonts w:hint="eastAsia" w:ascii="仿宋" w:hAnsi="仿宋" w:eastAsia="仿宋" w:cs="仿宋_GB2312"/>
          <w:color w:val="FF0000"/>
          <w:sz w:val="30"/>
          <w:szCs w:val="30"/>
        </w:rPr>
        <w:t xml:space="preserve">   </w:t>
      </w:r>
      <w:r>
        <w:rPr>
          <w:rFonts w:ascii="仿宋" w:hAnsi="仿宋" w:eastAsia="仿宋" w:cs="仿宋_GB2312"/>
          <w:color w:val="FF0000"/>
          <w:sz w:val="30"/>
          <w:szCs w:val="30"/>
        </w:rPr>
        <w:t xml:space="preserve">  </w:t>
      </w:r>
      <w:r>
        <w:rPr>
          <w:rFonts w:hint="eastAsia" w:ascii="仿宋" w:hAnsi="仿宋" w:eastAsia="仿宋" w:cs="仿宋"/>
          <w:color w:val="000000" w:themeColor="text1"/>
          <w:sz w:val="32"/>
          <w:szCs w:val="32"/>
        </w:rPr>
        <w:t>2023年</w:t>
      </w:r>
      <w:r>
        <w:rPr>
          <w:rFonts w:hint="eastAsia" w:ascii="仿宋" w:hAnsi="仿宋" w:eastAsia="仿宋" w:cs="仿宋"/>
          <w:color w:val="000000" w:themeColor="text1"/>
          <w:sz w:val="32"/>
          <w:szCs w:val="32"/>
          <w:lang w:val="en-US" w:eastAsia="zh-CN"/>
        </w:rPr>
        <w:t>6</w:t>
      </w:r>
      <w:r>
        <w:rPr>
          <w:rFonts w:hint="eastAsia" w:ascii="仿宋" w:hAnsi="仿宋" w:eastAsia="仿宋" w:cs="仿宋"/>
          <w:color w:val="000000" w:themeColor="text1"/>
          <w:sz w:val="32"/>
          <w:szCs w:val="32"/>
        </w:rPr>
        <w:t>月</w:t>
      </w:r>
      <w:r>
        <w:rPr>
          <w:rFonts w:hint="eastAsia" w:ascii="仿宋" w:hAnsi="仿宋" w:eastAsia="仿宋" w:cs="仿宋"/>
          <w:color w:val="000000" w:themeColor="text1"/>
          <w:sz w:val="32"/>
          <w:szCs w:val="32"/>
          <w:lang w:val="en-US" w:eastAsia="zh-CN"/>
        </w:rPr>
        <w:t>30</w:t>
      </w:r>
      <w:r>
        <w:rPr>
          <w:rFonts w:hint="eastAsia" w:ascii="仿宋" w:hAnsi="仿宋" w:eastAsia="仿宋" w:cs="仿宋"/>
          <w:color w:val="000000" w:themeColor="text1"/>
          <w:sz w:val="32"/>
          <w:szCs w:val="32"/>
        </w:rPr>
        <w:t>日</w:t>
      </w:r>
    </w:p>
    <w:p>
      <w:pPr>
        <w:pStyle w:val="2"/>
        <w:ind w:firstLine="300"/>
        <w:rPr>
          <w:rFonts w:eastAsia="仿宋_GB2312"/>
          <w:sz w:val="30"/>
          <w:szCs w:val="30"/>
        </w:rPr>
      </w:pPr>
    </w:p>
    <w:p>
      <w:pPr>
        <w:pStyle w:val="5"/>
        <w:rPr>
          <w:rFonts w:eastAsia="仿宋_GB2312"/>
          <w:sz w:val="30"/>
          <w:szCs w:val="30"/>
        </w:rPr>
      </w:pPr>
    </w:p>
    <w:p>
      <w:pPr>
        <w:rPr>
          <w:rFonts w:eastAsia="仿宋_GB2312"/>
          <w:sz w:val="30"/>
          <w:szCs w:val="30"/>
        </w:rPr>
      </w:pPr>
    </w:p>
    <w:p>
      <w:pPr>
        <w:pStyle w:val="2"/>
        <w:rPr>
          <w:rFonts w:eastAsia="仿宋_GB2312"/>
          <w:sz w:val="30"/>
          <w:szCs w:val="30"/>
        </w:rPr>
      </w:pPr>
    </w:p>
    <w:p>
      <w:pPr>
        <w:pStyle w:val="5"/>
        <w:rPr>
          <w:rFonts w:eastAsia="仿宋_GB2312"/>
          <w:sz w:val="30"/>
          <w:szCs w:val="30"/>
        </w:rPr>
      </w:pPr>
    </w:p>
    <w:p>
      <w:pPr>
        <w:rPr>
          <w:rFonts w:eastAsia="仿宋_GB2312"/>
          <w:sz w:val="30"/>
          <w:szCs w:val="30"/>
        </w:rPr>
      </w:pPr>
    </w:p>
    <w:p>
      <w:pPr>
        <w:pStyle w:val="2"/>
        <w:rPr>
          <w:rFonts w:eastAsia="仿宋_GB2312"/>
          <w:sz w:val="30"/>
          <w:szCs w:val="30"/>
        </w:rPr>
      </w:pPr>
    </w:p>
    <w:p>
      <w:pPr>
        <w:pStyle w:val="5"/>
      </w:pPr>
    </w:p>
    <w:p>
      <w:pPr>
        <w:spacing w:line="560" w:lineRule="exact"/>
        <w:rPr>
          <w:rFonts w:eastAsia="黑体"/>
          <w:sz w:val="30"/>
          <w:szCs w:val="30"/>
        </w:rPr>
      </w:pPr>
    </w:p>
    <w:p>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景德镇市山田水库水环境治理及灌区</w:t>
      </w:r>
    </w:p>
    <w:p>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综合整治工程</w:t>
      </w:r>
    </w:p>
    <w:p>
      <w:pPr>
        <w:pStyle w:val="2"/>
        <w:ind w:firstLine="210"/>
      </w:pP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加强农村水利工程建设，提高农业综合生产能力；提升农业灌溉区抵御如2022年超历史干旱、强度前所未有的高温天气，经区政府决定，投资景德镇市山田水库水环境治理及灌区综合整治工程项目（以下简称“该项目”），为确保项目建设计划的顺利实施，特制定本方案。</w:t>
      </w:r>
    </w:p>
    <w:p>
      <w:pPr>
        <w:pStyle w:val="7"/>
        <w:keepNext/>
        <w:keepLines/>
        <w:pageBreakBefore w:val="0"/>
        <w:widowControl/>
        <w:numPr>
          <w:ilvl w:val="0"/>
          <w:numId w:val="0"/>
        </w:numPr>
        <w:kinsoku/>
        <w:wordWrap/>
        <w:overflowPunct/>
        <w:topLinePunct w:val="0"/>
        <w:autoSpaceDE/>
        <w:autoSpaceDN/>
        <w:bidi w:val="0"/>
        <w:adjustRightInd w:val="0"/>
        <w:snapToGrid/>
        <w:spacing w:before="0" w:after="0" w:line="600" w:lineRule="exact"/>
        <w:ind w:firstLine="640" w:firstLineChars="200"/>
        <w:jc w:val="both"/>
        <w:textAlignment w:val="auto"/>
        <w:rPr>
          <w:rFonts w:hint="eastAsia" w:ascii="黑体" w:hAnsi="黑体" w:eastAsia="黑体" w:cs="黑体"/>
          <w:b w:val="0"/>
          <w:kern w:val="2"/>
          <w:sz w:val="32"/>
          <w:szCs w:val="32"/>
        </w:rPr>
      </w:pPr>
      <w:r>
        <w:rPr>
          <w:rFonts w:hint="eastAsia" w:ascii="黑体" w:hAnsi="黑体" w:eastAsia="黑体" w:cs="黑体"/>
          <w:b w:val="0"/>
          <w:kern w:val="2"/>
          <w:sz w:val="32"/>
          <w:szCs w:val="32"/>
        </w:rPr>
        <w:t>一、项目建设背景及必要性</w:t>
      </w:r>
    </w:p>
    <w:p>
      <w:pPr>
        <w:pageBreakBefore w:val="0"/>
        <w:numPr>
          <w:ilvl w:val="0"/>
          <w:numId w:val="2"/>
        </w:numPr>
        <w:kinsoku/>
        <w:wordWrap/>
        <w:overflowPunct/>
        <w:topLinePunct w:val="0"/>
        <w:autoSpaceDE/>
        <w:autoSpaceDN/>
        <w:bidi w:val="0"/>
        <w:spacing w:line="600" w:lineRule="exact"/>
        <w:ind w:left="0"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项目建设背景</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景德镇市国民经济和社会发展第十四个五年规划和二〇三五年远景目标纲要》中提出：着力完善集防洪、供水、生态等为一体的水利基础设施体系。提高防洪减灾能力，全面完成景德镇市城市防洪补短板项目，持续实施五河及支流防洪治理，全面开展病险水库水闸除险加固，完善昌江、乐安河防洪体系。</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山田水库位于昌江区丽阳镇枫林村上游昌江支流；下游有景德镇新西区、丽阳镇，鲇鱼山镇等十余个乡镇，人口23.6万人，耕地面积8万亩；206国道、鱼丽工业园区等重要区域均在水库流经区域，本项目为山田水库水环境治理及灌区综合整治工程项目，项目建成后，对于提高景德镇市农村区域防洪抗灾能力，改善农业生产条件，提高人居生活环境具有重要意义。</w:t>
      </w:r>
    </w:p>
    <w:p>
      <w:pPr>
        <w:pageBreakBefore w:val="0"/>
        <w:numPr>
          <w:ilvl w:val="0"/>
          <w:numId w:val="2"/>
        </w:numPr>
        <w:kinsoku/>
        <w:wordWrap/>
        <w:overflowPunct/>
        <w:topLinePunct w:val="0"/>
        <w:autoSpaceDE/>
        <w:autoSpaceDN/>
        <w:bidi w:val="0"/>
        <w:spacing w:line="600" w:lineRule="exact"/>
        <w:ind w:left="0"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项目建设必要性</w:t>
      </w:r>
    </w:p>
    <w:p>
      <w:pPr>
        <w:pageBreakBefore w:val="0"/>
        <w:kinsoku/>
        <w:wordWrap/>
        <w:overflowPunct/>
        <w:topLinePunct w:val="0"/>
        <w:autoSpaceDE/>
        <w:autoSpaceDN/>
        <w:bidi w:val="0"/>
        <w:spacing w:line="600" w:lineRule="exact"/>
        <w:ind w:firstLine="643" w:firstLineChars="200"/>
        <w:textAlignment w:val="auto"/>
        <w:rPr>
          <w:rFonts w:hint="eastAsia" w:ascii="仿宋" w:hAnsi="仿宋" w:eastAsia="仿宋" w:cs="仿宋"/>
          <w:b/>
          <w:bCs/>
          <w:sz w:val="32"/>
          <w:szCs w:val="32"/>
        </w:rPr>
      </w:pPr>
      <w:bookmarkStart w:id="1" w:name="_Toc55752804"/>
      <w:r>
        <w:rPr>
          <w:rFonts w:hint="eastAsia" w:ascii="仿宋" w:hAnsi="仿宋" w:eastAsia="仿宋" w:cs="仿宋"/>
          <w:b/>
          <w:bCs/>
          <w:sz w:val="32"/>
          <w:szCs w:val="32"/>
        </w:rPr>
        <w:t>1</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符合国家相关政策</w:t>
      </w:r>
      <w:bookmarkEnd w:id="1"/>
    </w:p>
    <w:p>
      <w:pPr>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根据《产业结构调整指导目录（2021年本）》，其中鼓励产业第一类第二点——水利中第7、第20小类内容为：病险水库、水闸除险加固工程；水源地保护工程，本项目属于鼓励内容。</w:t>
      </w:r>
    </w:p>
    <w:p>
      <w:pPr>
        <w:pageBreakBefore w:val="0"/>
        <w:kinsoku/>
        <w:wordWrap/>
        <w:overflowPunct/>
        <w:topLinePunct w:val="0"/>
        <w:autoSpaceDE/>
        <w:autoSpaceDN/>
        <w:bidi w:val="0"/>
        <w:spacing w:line="600" w:lineRule="exact"/>
        <w:ind w:firstLine="643" w:firstLineChars="200"/>
        <w:textAlignment w:val="auto"/>
        <w:rPr>
          <w:rFonts w:hint="eastAsia" w:ascii="仿宋" w:hAnsi="仿宋" w:eastAsia="仿宋" w:cs="仿宋"/>
          <w:b/>
          <w:bCs/>
          <w:sz w:val="32"/>
          <w:szCs w:val="32"/>
        </w:rPr>
      </w:pPr>
      <w:bookmarkStart w:id="2" w:name="_Toc55752805"/>
      <w:r>
        <w:rPr>
          <w:rFonts w:hint="eastAsia" w:ascii="仿宋" w:hAnsi="仿宋" w:eastAsia="仿宋" w:cs="仿宋"/>
          <w:b/>
          <w:bCs/>
          <w:sz w:val="32"/>
          <w:szCs w:val="32"/>
        </w:rPr>
        <w:t>2</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是贯彻国务院精神，强化水利建设的需要</w:t>
      </w:r>
      <w:bookmarkEnd w:id="2"/>
    </w:p>
    <w:p>
      <w:pPr>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水是生命之源、生产之要、生态之基。兴水利、除水害，事关人类生存、经济发展、社会进步，历来是治国安邦的大事。促进经济长期平稳较快发展和社会和谐稳定，夺取全面建设小康社会新胜利，必须下决心加快水利发展，切实增强水利支撑保障能力，实现水资源可持续利用。</w:t>
      </w:r>
    </w:p>
    <w:p>
      <w:pPr>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本项目实施，符合《中共中央、国务院关于加快水利改革发展的决定》精神，是加强水利设施建设，多渠道筹集建设资金的重要举措。项目的建设是景德镇市强化水利建设的重要工作。</w:t>
      </w:r>
    </w:p>
    <w:p>
      <w:pPr>
        <w:pageBreakBefore w:val="0"/>
        <w:kinsoku/>
        <w:wordWrap/>
        <w:overflowPunct/>
        <w:topLinePunct w:val="0"/>
        <w:autoSpaceDE/>
        <w:autoSpaceDN/>
        <w:bidi w:val="0"/>
        <w:spacing w:line="600" w:lineRule="exact"/>
        <w:ind w:firstLine="643"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3</w:t>
      </w:r>
      <w:r>
        <w:rPr>
          <w:rFonts w:hint="eastAsia" w:ascii="仿宋" w:hAnsi="仿宋" w:eastAsia="仿宋" w:cs="仿宋"/>
          <w:b/>
          <w:bCs/>
          <w:color w:val="000000" w:themeColor="text1"/>
          <w:sz w:val="32"/>
          <w:szCs w:val="32"/>
          <w:lang w:val="en-US" w:eastAsia="zh-CN"/>
        </w:rPr>
        <w:t>.</w:t>
      </w:r>
      <w:r>
        <w:rPr>
          <w:rFonts w:hint="eastAsia" w:ascii="仿宋" w:hAnsi="仿宋" w:eastAsia="仿宋" w:cs="仿宋"/>
          <w:b/>
          <w:bCs/>
          <w:color w:val="000000" w:themeColor="text1"/>
          <w:sz w:val="32"/>
          <w:szCs w:val="32"/>
        </w:rPr>
        <w:t>项目的建设有利于增强脱贫地区和脱贫群众内生发展动力</w:t>
      </w:r>
    </w:p>
    <w:p>
      <w:pPr>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项目的建设可以提高农田灌溉效率，实现农田稳产增产。通过在农村地区建设堤防、水库、灌溉设施等水利工程设施，能够提高灌溉水资源利用效率和输配水能力，同时也能够改善耕地条件，促进农作物生长发育，提高农作物产量，增加农民收益。由此可见通过本项目实施，可以提高昌江区丽阳镇农村帮扶效益，一方面使当地村民获得了谋生和发展的机会和条件，稳定地就业致富，另一方面通过基础设施建设，使农村人口实现农业资源的再分配，他们将获得比以往多得多的农业自然资源，加上政府的帮扶和引导，使其尽快走上致富之路，促进区域全面协调可持续发展。</w:t>
      </w:r>
    </w:p>
    <w:p>
      <w:pPr>
        <w:pageBreakBefore w:val="0"/>
        <w:kinsoku/>
        <w:wordWrap/>
        <w:overflowPunct/>
        <w:topLinePunct w:val="0"/>
        <w:autoSpaceDE/>
        <w:autoSpaceDN/>
        <w:bidi w:val="0"/>
        <w:spacing w:line="600" w:lineRule="exact"/>
        <w:ind w:firstLine="643"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4、本项目的建设是加强农村水利工程建设，提高农业综合生产能力的坚实基础</w:t>
      </w:r>
    </w:p>
    <w:p>
      <w:pPr>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长期以来，国家始终把建设农村水利基础设施、改善农业生产条件放在首要位置。水，是一切生命的源泉，没有了水也就没有生命。但水能载舟也能覆舟，纵观人类发展的历史，人类在经历了无数次水灾旱灾等灾害后不断的总结经验和教训，建设并利用各种水利工程设施来预防和抵御自然灾害，降低水灾旱灾给农业生产、社会生活造成的影响和威胁，尽力将损失降至最低，从而保证人们的生命财产安全。</w:t>
      </w:r>
    </w:p>
    <w:p>
      <w:pPr>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景德镇市通过本项目水库综合治理、灌区综合治理工程等基础设施建设，能够切实改变广大农村地区从大雨大灾、小雨小灾、无雨旱灾的状况，到丰水蓄水、枯水放水、有灾抗灾、无灾防灾的局面，一定程度地规避和减少了水灾旱灾对农业生产、农村社会的影响和威胁，提高农业综合生产能力，为景德镇市农民增产增收创造良好的坚实基础。</w:t>
      </w:r>
    </w:p>
    <w:p>
      <w:pPr>
        <w:pageBreakBefore w:val="0"/>
        <w:kinsoku/>
        <w:wordWrap/>
        <w:overflowPunct/>
        <w:topLinePunct w:val="0"/>
        <w:autoSpaceDE/>
        <w:autoSpaceDN/>
        <w:bidi w:val="0"/>
        <w:spacing w:line="600" w:lineRule="exact"/>
        <w:ind w:firstLine="643"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5、项目的建设是保障群众安全的需要</w:t>
      </w:r>
    </w:p>
    <w:p>
      <w:pPr>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水库除险加固：一是解除了一批隐患，完善了防洪体系。水库是江河防洪体系的重要组成部分，水库出现隐患，不仅是江河防洪体系的削弱，更重要的是水库本身变成了巨大的隐患和威胁。水库除险加固在保证防洪安全上一举两得，一方面解除了水库自身的安全隐患，另一方面完善了江河防洪体系，增强了江河防洪的综合能力。二是提高了水资源调控能力。通过除险加固，不但恢复了水库的原有设计功能，提高了对水资源的调控能力，保证了供水安全，而且水库本身也取得了显著的经济效益，为水库今后的良性运行和管理水平的提高打下了坚实的物质基础。三是发挥了显著的环境效益。过去，因为水库长期得不到维修，水库不敢蓄水，水库表现有三差：一是消落区环境差，二是水域环境差，三是水库大坝自身环境差。</w:t>
      </w:r>
    </w:p>
    <w:p>
      <w:pPr>
        <w:pStyle w:val="7"/>
        <w:keepNext/>
        <w:keepLines/>
        <w:pageBreakBefore w:val="0"/>
        <w:widowControl/>
        <w:numPr>
          <w:ilvl w:val="0"/>
          <w:numId w:val="0"/>
        </w:numPr>
        <w:kinsoku/>
        <w:wordWrap/>
        <w:overflowPunct/>
        <w:topLinePunct w:val="0"/>
        <w:autoSpaceDE/>
        <w:autoSpaceDN/>
        <w:bidi w:val="0"/>
        <w:adjustRightInd w:val="0"/>
        <w:snapToGrid/>
        <w:spacing w:before="0" w:after="0" w:line="600" w:lineRule="exact"/>
        <w:ind w:firstLine="640" w:firstLineChars="200"/>
        <w:jc w:val="both"/>
        <w:textAlignment w:val="auto"/>
        <w:rPr>
          <w:rFonts w:hint="eastAsia" w:ascii="黑体" w:hAnsi="黑体" w:eastAsia="黑体" w:cs="黑体"/>
          <w:b w:val="0"/>
          <w:kern w:val="2"/>
          <w:sz w:val="32"/>
          <w:szCs w:val="32"/>
        </w:rPr>
      </w:pPr>
      <w:r>
        <w:rPr>
          <w:rFonts w:hint="eastAsia" w:ascii="黑体" w:hAnsi="黑体" w:eastAsia="黑体" w:cs="黑体"/>
          <w:b w:val="0"/>
          <w:kern w:val="2"/>
          <w:sz w:val="32"/>
          <w:szCs w:val="32"/>
        </w:rPr>
        <w:t>二、项目基本情况</w:t>
      </w:r>
    </w:p>
    <w:p>
      <w:pPr>
        <w:pStyle w:val="5"/>
        <w:pageBreakBefore w:val="0"/>
        <w:kinsoku/>
        <w:wordWrap/>
        <w:overflowPunct/>
        <w:topLinePunct w:val="0"/>
        <w:autoSpaceDE/>
        <w:autoSpaceDN/>
        <w:bidi w:val="0"/>
        <w:spacing w:after="0" w:line="600" w:lineRule="exact"/>
        <w:ind w:left="0" w:leftChars="0" w:firstLine="643" w:firstLineChars="200"/>
        <w:textAlignment w:val="auto"/>
        <w:rPr>
          <w:rFonts w:hint="eastAsia" w:ascii="仿宋" w:hAnsi="仿宋" w:eastAsia="仿宋" w:cs="仿宋"/>
          <w:sz w:val="32"/>
          <w:szCs w:val="32"/>
        </w:rPr>
      </w:pPr>
      <w:r>
        <w:rPr>
          <w:rFonts w:hint="eastAsia" w:ascii="楷体" w:hAnsi="楷体" w:eastAsia="楷体" w:cs="楷体"/>
          <w:b/>
          <w:sz w:val="32"/>
          <w:szCs w:val="32"/>
        </w:rPr>
        <w:t>（一）项目名称：</w:t>
      </w:r>
      <w:r>
        <w:rPr>
          <w:rFonts w:hint="eastAsia" w:ascii="仿宋" w:hAnsi="仿宋" w:eastAsia="仿宋" w:cs="仿宋"/>
          <w:sz w:val="32"/>
          <w:szCs w:val="32"/>
        </w:rPr>
        <w:t>景德镇市山田水库水环境治理及灌区综合整治工程</w:t>
      </w:r>
    </w:p>
    <w:p>
      <w:pPr>
        <w:pStyle w:val="5"/>
        <w:pageBreakBefore w:val="0"/>
        <w:kinsoku/>
        <w:wordWrap/>
        <w:overflowPunct/>
        <w:topLinePunct w:val="0"/>
        <w:autoSpaceDE/>
        <w:autoSpaceDN/>
        <w:bidi w:val="0"/>
        <w:spacing w:after="0" w:line="600" w:lineRule="exact"/>
        <w:ind w:left="0" w:leftChars="0" w:firstLine="643" w:firstLineChars="200"/>
        <w:textAlignment w:val="auto"/>
        <w:rPr>
          <w:rFonts w:hint="eastAsia" w:ascii="仿宋" w:hAnsi="仿宋" w:eastAsia="仿宋" w:cs="仿宋"/>
          <w:sz w:val="32"/>
          <w:szCs w:val="32"/>
        </w:rPr>
      </w:pPr>
      <w:r>
        <w:rPr>
          <w:rFonts w:hint="eastAsia" w:ascii="楷体" w:hAnsi="楷体" w:eastAsia="楷体" w:cs="楷体"/>
          <w:b/>
          <w:sz w:val="32"/>
          <w:szCs w:val="32"/>
        </w:rPr>
        <w:t>（二）项目承办单位：</w:t>
      </w:r>
      <w:bookmarkStart w:id="3" w:name="_Hlk135038393"/>
      <w:r>
        <w:rPr>
          <w:rFonts w:hint="eastAsia" w:ascii="仿宋" w:hAnsi="仿宋" w:eastAsia="仿宋" w:cs="仿宋"/>
          <w:sz w:val="32"/>
          <w:szCs w:val="32"/>
        </w:rPr>
        <w:t>景德镇市瓷之源建设开发有限公司</w:t>
      </w:r>
      <w:bookmarkEnd w:id="3"/>
    </w:p>
    <w:p>
      <w:pPr>
        <w:pageBreakBefore w:val="0"/>
        <w:kinsoku/>
        <w:wordWrap/>
        <w:overflowPunct/>
        <w:topLinePunct w:val="0"/>
        <w:autoSpaceDE/>
        <w:autoSpaceDN/>
        <w:bidi w:val="0"/>
        <w:spacing w:line="600" w:lineRule="exact"/>
        <w:ind w:firstLine="643" w:firstLineChars="200"/>
        <w:textAlignment w:val="auto"/>
        <w:rPr>
          <w:rFonts w:hint="eastAsia" w:ascii="仿宋" w:hAnsi="仿宋" w:eastAsia="仿宋" w:cs="仿宋"/>
          <w:color w:val="000000" w:themeColor="text1"/>
          <w:sz w:val="32"/>
          <w:szCs w:val="32"/>
        </w:rPr>
      </w:pPr>
      <w:r>
        <w:rPr>
          <w:rFonts w:hint="eastAsia" w:ascii="楷体" w:hAnsi="楷体" w:eastAsia="楷体" w:cs="楷体"/>
          <w:b/>
          <w:kern w:val="2"/>
          <w:sz w:val="32"/>
          <w:szCs w:val="32"/>
          <w:lang w:val="en-US" w:eastAsia="zh-CN" w:bidi="ar-SA"/>
        </w:rPr>
        <w:t>（三）项目地点：</w:t>
      </w:r>
      <w:r>
        <w:rPr>
          <w:rFonts w:hint="eastAsia" w:ascii="仿宋" w:hAnsi="仿宋" w:eastAsia="仿宋" w:cs="仿宋"/>
          <w:sz w:val="32"/>
          <w:szCs w:val="32"/>
        </w:rPr>
        <w:t>本项目建设地点位于景德镇市昌江区丽阳</w:t>
      </w:r>
      <w:r>
        <w:rPr>
          <w:rFonts w:hint="eastAsia" w:ascii="仿宋" w:hAnsi="仿宋" w:eastAsia="仿宋" w:cs="仿宋"/>
          <w:color w:val="000000" w:themeColor="text1"/>
          <w:sz w:val="32"/>
          <w:szCs w:val="32"/>
        </w:rPr>
        <w:t>镇枫林村、余家村、丰田村三个村庄。</w:t>
      </w:r>
    </w:p>
    <w:p>
      <w:pPr>
        <w:pStyle w:val="9"/>
        <w:pageBreakBefore w:val="0"/>
        <w:kinsoku/>
        <w:wordWrap/>
        <w:overflowPunct/>
        <w:topLinePunct w:val="0"/>
        <w:autoSpaceDE/>
        <w:autoSpaceDN/>
        <w:bidi w:val="0"/>
        <w:spacing w:line="600" w:lineRule="exact"/>
        <w:ind w:firstLine="643" w:firstLineChars="200"/>
        <w:textAlignment w:val="auto"/>
        <w:rPr>
          <w:rFonts w:hint="eastAsia" w:ascii="仿宋" w:hAnsi="仿宋" w:eastAsia="仿宋" w:cs="仿宋"/>
          <w:color w:val="000000" w:themeColor="text1"/>
          <w:sz w:val="32"/>
          <w:szCs w:val="32"/>
        </w:rPr>
      </w:pPr>
      <w:r>
        <w:rPr>
          <w:rFonts w:hint="eastAsia" w:ascii="楷体" w:hAnsi="楷体" w:eastAsia="楷体" w:cs="楷体"/>
          <w:b/>
          <w:kern w:val="2"/>
          <w:sz w:val="32"/>
          <w:szCs w:val="32"/>
          <w:lang w:val="en-US" w:eastAsia="zh-CN" w:bidi="ar-SA"/>
        </w:rPr>
        <w:t>（四）建设内容：</w:t>
      </w:r>
      <w:r>
        <w:rPr>
          <w:rFonts w:hint="eastAsia" w:ascii="仿宋" w:hAnsi="仿宋" w:eastAsia="仿宋" w:cs="仿宋"/>
          <w:color w:val="000000" w:themeColor="text1"/>
          <w:sz w:val="32"/>
          <w:szCs w:val="32"/>
        </w:rPr>
        <w:t>本项目为景德镇市山田水库水环境治理及灌区综合整治工程，项目总用地面积945亩（不涉及新增建设用地），涉及水面面积115200亩，主要建设内容包含水库综合治理工程、灌区治理工程。</w:t>
      </w:r>
    </w:p>
    <w:p>
      <w:pPr>
        <w:pStyle w:val="9"/>
        <w:pageBreakBefore w:val="0"/>
        <w:kinsoku/>
        <w:wordWrap/>
        <w:overflowPunct/>
        <w:topLinePunct w:val="0"/>
        <w:autoSpaceDE/>
        <w:autoSpaceDN/>
        <w:bidi w:val="0"/>
        <w:spacing w:line="600" w:lineRule="exact"/>
        <w:ind w:firstLine="643"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1、水库综合治理工程</w:t>
      </w:r>
    </w:p>
    <w:p>
      <w:pPr>
        <w:pStyle w:val="9"/>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水库综合治理工程主要包含山田水库除险加固工程（含堤坝加固、泄洪道工程、输水涵洞加固工程、输水渠工程、防汛公路、大坝安全检测设计）及水源地环境整治工程（含水库周边垃圾清运、水库入水口环境治理、水库清淤工程、水库护坡绿化工程）。</w:t>
      </w:r>
    </w:p>
    <w:p>
      <w:pPr>
        <w:pStyle w:val="9"/>
        <w:pageBreakBefore w:val="0"/>
        <w:kinsoku/>
        <w:wordWrap/>
        <w:overflowPunct/>
        <w:topLinePunct w:val="0"/>
        <w:autoSpaceDE/>
        <w:autoSpaceDN/>
        <w:bidi w:val="0"/>
        <w:spacing w:line="600" w:lineRule="exact"/>
        <w:ind w:firstLine="643"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2、灌区治理工程</w:t>
      </w:r>
    </w:p>
    <w:p>
      <w:pPr>
        <w:pStyle w:val="9"/>
        <w:pageBreakBefore w:val="0"/>
        <w:kinsoku/>
        <w:wordWrap/>
        <w:overflowPunct/>
        <w:topLinePunct w:val="0"/>
        <w:autoSpaceDE/>
        <w:autoSpaceDN/>
        <w:bidi w:val="0"/>
        <w:spacing w:line="600" w:lineRule="exact"/>
        <w:ind w:firstLine="640" w:firstLineChars="200"/>
        <w:textAlignment w:val="auto"/>
        <w:rPr>
          <w:rFonts w:ascii="仿宋_GB2312" w:hAnsi="Times New Roman" w:eastAsia="仿宋_GB2312"/>
          <w:color w:val="000000" w:themeColor="text1"/>
          <w:sz w:val="30"/>
          <w:szCs w:val="30"/>
        </w:rPr>
      </w:pPr>
      <w:r>
        <w:rPr>
          <w:rFonts w:hint="eastAsia" w:ascii="仿宋" w:hAnsi="仿宋" w:eastAsia="仿宋" w:cs="仿宋"/>
          <w:color w:val="000000" w:themeColor="text1"/>
          <w:sz w:val="32"/>
          <w:szCs w:val="32"/>
        </w:rPr>
        <w:t>灌区治理工程主要建设内容包含：灌区渠(沟)道（含岸坡清杂、土方清基、土方开挖、土方填筑、砂石垫层、齿槽与压顶混凝土C25、预制块护坡混凝土C25厚8cm、生态网格混凝土护坡、平面模板）、渠(沟)道建筑物、提灌站与机井及其他工程。</w:t>
      </w:r>
    </w:p>
    <w:p>
      <w:pPr>
        <w:pStyle w:val="9"/>
        <w:ind w:firstLine="640" w:firstLineChars="200"/>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具体如下表：</w:t>
      </w:r>
    </w:p>
    <w:p>
      <w:pPr>
        <w:pStyle w:val="9"/>
        <w:ind w:firstLine="640" w:firstLineChars="200"/>
        <w:jc w:val="center"/>
        <w:rPr>
          <w:rFonts w:hint="eastAsia" w:ascii="方正小标宋简体" w:hAnsi="方正小标宋简体" w:eastAsia="方正小标宋简体" w:cs="方正小标宋简体"/>
          <w:color w:val="000000" w:themeColor="text1"/>
          <w:sz w:val="32"/>
          <w:szCs w:val="32"/>
        </w:rPr>
      </w:pPr>
      <w:r>
        <w:rPr>
          <w:rFonts w:hint="eastAsia" w:ascii="方正小标宋简体" w:hAnsi="方正小标宋简体" w:eastAsia="方正小标宋简体" w:cs="方正小标宋简体"/>
          <w:color w:val="000000" w:themeColor="text1"/>
          <w:sz w:val="32"/>
          <w:szCs w:val="32"/>
        </w:rPr>
        <w:t>表1主要建设内容一览表</w:t>
      </w:r>
    </w:p>
    <w:tbl>
      <w:tblPr>
        <w:tblStyle w:val="19"/>
        <w:tblW w:w="5000" w:type="pct"/>
        <w:jc w:val="center"/>
        <w:tblLayout w:type="autofit"/>
        <w:tblCellMar>
          <w:top w:w="0" w:type="dxa"/>
          <w:left w:w="108" w:type="dxa"/>
          <w:bottom w:w="0" w:type="dxa"/>
          <w:right w:w="108" w:type="dxa"/>
        </w:tblCellMar>
      </w:tblPr>
      <w:tblGrid>
        <w:gridCol w:w="925"/>
        <w:gridCol w:w="3332"/>
        <w:gridCol w:w="963"/>
        <w:gridCol w:w="1355"/>
        <w:gridCol w:w="2713"/>
      </w:tblGrid>
      <w:tr>
        <w:tblPrEx>
          <w:tblCellMar>
            <w:top w:w="0" w:type="dxa"/>
            <w:left w:w="108" w:type="dxa"/>
            <w:bottom w:w="0" w:type="dxa"/>
            <w:right w:w="108" w:type="dxa"/>
          </w:tblCellMar>
        </w:tblPrEx>
        <w:trPr>
          <w:trHeight w:val="240" w:hRule="atLeast"/>
          <w:tblHeader/>
          <w:jc w:val="center"/>
        </w:trPr>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序号</w:t>
            </w:r>
          </w:p>
        </w:tc>
        <w:tc>
          <w:tcPr>
            <w:tcW w:w="1793" w:type="pct"/>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项目</w:t>
            </w:r>
          </w:p>
        </w:tc>
        <w:tc>
          <w:tcPr>
            <w:tcW w:w="518" w:type="pct"/>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单位</w:t>
            </w:r>
          </w:p>
        </w:tc>
        <w:tc>
          <w:tcPr>
            <w:tcW w:w="729" w:type="pct"/>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数量</w:t>
            </w:r>
          </w:p>
        </w:tc>
        <w:tc>
          <w:tcPr>
            <w:tcW w:w="1460" w:type="pct"/>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备注</w:t>
            </w:r>
          </w:p>
        </w:tc>
      </w:tr>
      <w:tr>
        <w:tblPrEx>
          <w:tblCellMar>
            <w:top w:w="0" w:type="dxa"/>
            <w:left w:w="108" w:type="dxa"/>
            <w:bottom w:w="0" w:type="dxa"/>
            <w:right w:w="108" w:type="dxa"/>
          </w:tblCellMar>
        </w:tblPrEx>
        <w:trPr>
          <w:trHeight w:val="240"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b/>
                <w:bCs/>
                <w:color w:val="000000" w:themeColor="text1"/>
                <w:kern w:val="0"/>
                <w:sz w:val="18"/>
                <w:szCs w:val="18"/>
              </w:rPr>
            </w:pPr>
            <w:r>
              <w:rPr>
                <w:b/>
                <w:bCs/>
                <w:color w:val="000000" w:themeColor="text1"/>
                <w:kern w:val="0"/>
                <w:sz w:val="18"/>
                <w:szCs w:val="18"/>
              </w:rPr>
              <w:t>一</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b/>
                <w:bCs/>
                <w:color w:val="000000" w:themeColor="text1"/>
                <w:kern w:val="0"/>
                <w:sz w:val="18"/>
                <w:szCs w:val="18"/>
              </w:rPr>
            </w:pPr>
            <w:r>
              <w:rPr>
                <w:b/>
                <w:bCs/>
                <w:color w:val="000000" w:themeColor="text1"/>
                <w:kern w:val="0"/>
                <w:sz w:val="18"/>
                <w:szCs w:val="18"/>
              </w:rPr>
              <w:t>水库综合治理工程</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b/>
                <w:bCs/>
                <w:color w:val="000000" w:themeColor="text1"/>
                <w:kern w:val="0"/>
                <w:sz w:val="18"/>
                <w:szCs w:val="18"/>
              </w:rPr>
            </w:pPr>
            <w:r>
              <w:rPr>
                <w:b/>
                <w:bCs/>
                <w:color w:val="000000" w:themeColor="text1"/>
                <w:kern w:val="0"/>
                <w:sz w:val="18"/>
                <w:szCs w:val="18"/>
              </w:rPr>
              <w:t>　</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b/>
                <w:bCs/>
                <w:color w:val="000000" w:themeColor="text1"/>
                <w:kern w:val="0"/>
                <w:sz w:val="18"/>
                <w:szCs w:val="18"/>
              </w:rPr>
            </w:pPr>
            <w:r>
              <w:rPr>
                <w:b/>
                <w:bCs/>
                <w:color w:val="000000" w:themeColor="text1"/>
                <w:kern w:val="0"/>
                <w:sz w:val="18"/>
                <w:szCs w:val="18"/>
              </w:rPr>
              <w:t>　</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b/>
                <w:bCs/>
                <w:color w:val="000000" w:themeColor="text1"/>
                <w:kern w:val="0"/>
                <w:sz w:val="18"/>
                <w:szCs w:val="18"/>
              </w:rPr>
            </w:pPr>
            <w:r>
              <w:rPr>
                <w:b/>
                <w:bCs/>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xml:space="preserve">1 </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水库除险加固工程</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1.1</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堤坝加固</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55"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1.1.1</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坝顶砼路面</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18000</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55"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1.1.2</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堤坝防渗加固</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6000</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85"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1.1.3</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坝坡加固工程</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30000</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55"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1.1.4</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坝坡排水工程</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m</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500</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55"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1.2</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泄洪道工程</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55"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1.2.1</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泄洪道疏浚工程</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m</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15000</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55"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1.2.2</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泄洪道排水渠工程</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m</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15000</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平均宽度约15米</w:t>
            </w:r>
          </w:p>
        </w:tc>
      </w:tr>
      <w:tr>
        <w:tblPrEx>
          <w:tblCellMar>
            <w:top w:w="0" w:type="dxa"/>
            <w:left w:w="108" w:type="dxa"/>
            <w:bottom w:w="0" w:type="dxa"/>
            <w:right w:w="108" w:type="dxa"/>
          </w:tblCellMar>
        </w:tblPrEx>
        <w:trPr>
          <w:trHeight w:val="255"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1.3</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输水涵洞加固工程</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m</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300</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55"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1.4</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输水渠工程</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m</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20000</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宽度约2米</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1.5</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防汛公路</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1.5.1</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土方工程</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m³</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220000</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1.5.2</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路基工程</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55000</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1.5.3</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路面工程</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52250</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1.5.4</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排水沟工程</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m</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20000</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1.5.5</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浆砌石挡墙</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m</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6000</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40"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1.6</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大坝安全检测设计</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套</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330"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b/>
                <w:bCs/>
                <w:color w:val="000000" w:themeColor="text1"/>
                <w:kern w:val="0"/>
                <w:sz w:val="18"/>
                <w:szCs w:val="18"/>
              </w:rPr>
            </w:pPr>
            <w:r>
              <w:rPr>
                <w:b/>
                <w:bCs/>
                <w:color w:val="000000" w:themeColor="text1"/>
                <w:kern w:val="0"/>
                <w:sz w:val="18"/>
                <w:szCs w:val="18"/>
              </w:rPr>
              <w:t xml:space="preserve">2 </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b/>
                <w:bCs/>
                <w:color w:val="000000" w:themeColor="text1"/>
                <w:kern w:val="0"/>
                <w:sz w:val="18"/>
                <w:szCs w:val="18"/>
              </w:rPr>
            </w:pPr>
            <w:r>
              <w:rPr>
                <w:b/>
                <w:bCs/>
                <w:color w:val="000000" w:themeColor="text1"/>
                <w:kern w:val="0"/>
                <w:sz w:val="18"/>
                <w:szCs w:val="18"/>
              </w:rPr>
              <w:t>水库环境整治工程</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b/>
                <w:bCs/>
                <w:color w:val="000000" w:themeColor="text1"/>
                <w:kern w:val="0"/>
                <w:sz w:val="18"/>
                <w:szCs w:val="18"/>
              </w:rPr>
            </w:pPr>
            <w:r>
              <w:rPr>
                <w:b/>
                <w:bCs/>
                <w:color w:val="000000" w:themeColor="text1"/>
                <w:kern w:val="0"/>
                <w:sz w:val="18"/>
                <w:szCs w:val="18"/>
              </w:rPr>
              <w:t>　</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b/>
                <w:bCs/>
                <w:color w:val="000000" w:themeColor="text1"/>
                <w:kern w:val="0"/>
                <w:sz w:val="18"/>
                <w:szCs w:val="18"/>
              </w:rPr>
            </w:pPr>
            <w:r>
              <w:rPr>
                <w:b/>
                <w:bCs/>
                <w:color w:val="000000" w:themeColor="text1"/>
                <w:kern w:val="0"/>
                <w:sz w:val="18"/>
                <w:szCs w:val="18"/>
              </w:rPr>
              <w:t>　</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330"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xml:space="preserve">2.1 </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水库周边垃圾清运</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亩</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500</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345"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xml:space="preserve">2.2 </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水库入水口环境治理</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100000</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345"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xml:space="preserve">2.3 </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水库清淤工程</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m³</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5760000</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345"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xml:space="preserve">2.4 </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水库护坡绿化工程</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50000</w:t>
            </w:r>
          </w:p>
        </w:tc>
        <w:tc>
          <w:tcPr>
            <w:tcW w:w="1460"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40" w:hRule="atLeast"/>
          <w:jc w:val="center"/>
        </w:trPr>
        <w:tc>
          <w:tcPr>
            <w:tcW w:w="498" w:type="pct"/>
            <w:tcBorders>
              <w:top w:val="nil"/>
              <w:left w:val="single" w:color="auto" w:sz="4" w:space="0"/>
              <w:bottom w:val="single" w:color="auto" w:sz="4" w:space="0"/>
              <w:right w:val="single" w:color="auto" w:sz="4" w:space="0"/>
            </w:tcBorders>
            <w:shd w:val="clear" w:color="auto" w:fill="auto"/>
            <w:vAlign w:val="center"/>
          </w:tcPr>
          <w:p>
            <w:pPr>
              <w:widowControl/>
              <w:jc w:val="center"/>
              <w:rPr>
                <w:b/>
                <w:bCs/>
                <w:color w:val="000000" w:themeColor="text1"/>
                <w:kern w:val="0"/>
                <w:sz w:val="18"/>
                <w:szCs w:val="18"/>
              </w:rPr>
            </w:pPr>
            <w:r>
              <w:rPr>
                <w:b/>
                <w:bCs/>
                <w:color w:val="000000" w:themeColor="text1"/>
                <w:kern w:val="0"/>
                <w:sz w:val="18"/>
                <w:szCs w:val="18"/>
              </w:rPr>
              <w:t>二</w:t>
            </w:r>
          </w:p>
        </w:tc>
        <w:tc>
          <w:tcPr>
            <w:tcW w:w="1793" w:type="pct"/>
            <w:tcBorders>
              <w:top w:val="nil"/>
              <w:left w:val="nil"/>
              <w:bottom w:val="single" w:color="auto" w:sz="4" w:space="0"/>
              <w:right w:val="single" w:color="auto" w:sz="4" w:space="0"/>
            </w:tcBorders>
            <w:shd w:val="clear" w:color="auto" w:fill="auto"/>
            <w:vAlign w:val="center"/>
          </w:tcPr>
          <w:p>
            <w:pPr>
              <w:widowControl/>
              <w:jc w:val="center"/>
              <w:rPr>
                <w:b/>
                <w:bCs/>
                <w:color w:val="000000" w:themeColor="text1"/>
                <w:kern w:val="0"/>
                <w:sz w:val="18"/>
                <w:szCs w:val="18"/>
              </w:rPr>
            </w:pPr>
            <w:r>
              <w:rPr>
                <w:b/>
                <w:bCs/>
                <w:color w:val="000000" w:themeColor="text1"/>
                <w:kern w:val="0"/>
                <w:sz w:val="18"/>
                <w:szCs w:val="18"/>
              </w:rPr>
              <w:t>灌区治理工程</w:t>
            </w:r>
          </w:p>
        </w:tc>
        <w:tc>
          <w:tcPr>
            <w:tcW w:w="518" w:type="pct"/>
            <w:tcBorders>
              <w:top w:val="nil"/>
              <w:left w:val="nil"/>
              <w:bottom w:val="single" w:color="auto" w:sz="4" w:space="0"/>
              <w:right w:val="single" w:color="auto" w:sz="4" w:space="0"/>
            </w:tcBorders>
            <w:shd w:val="clear" w:color="auto" w:fill="auto"/>
            <w:vAlign w:val="center"/>
          </w:tcPr>
          <w:p>
            <w:pPr>
              <w:widowControl/>
              <w:jc w:val="center"/>
              <w:rPr>
                <w:b/>
                <w:bCs/>
                <w:color w:val="000000" w:themeColor="text1"/>
                <w:kern w:val="0"/>
                <w:sz w:val="18"/>
                <w:szCs w:val="18"/>
              </w:rPr>
            </w:pPr>
            <w:r>
              <w:rPr>
                <w:b/>
                <w:bCs/>
                <w:color w:val="000000" w:themeColor="text1"/>
                <w:kern w:val="0"/>
                <w:sz w:val="18"/>
                <w:szCs w:val="18"/>
              </w:rPr>
              <w:t>　</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b/>
                <w:bCs/>
                <w:color w:val="000000" w:themeColor="text1"/>
                <w:kern w:val="0"/>
                <w:sz w:val="18"/>
                <w:szCs w:val="18"/>
              </w:rPr>
            </w:pPr>
            <w:r>
              <w:rPr>
                <w:b/>
                <w:bCs/>
                <w:color w:val="000000" w:themeColor="text1"/>
                <w:kern w:val="0"/>
                <w:sz w:val="18"/>
                <w:szCs w:val="18"/>
              </w:rPr>
              <w:t>　</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b/>
                <w:bCs/>
                <w:color w:val="000000" w:themeColor="text1"/>
                <w:kern w:val="0"/>
                <w:sz w:val="18"/>
                <w:szCs w:val="18"/>
              </w:rPr>
            </w:pPr>
            <w:r>
              <w:rPr>
                <w:b/>
                <w:bCs/>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1</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灌区渠(沟)道</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1.1</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岸坡清杂</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km</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30</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315"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1.2</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土方清基</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m</w:t>
            </w:r>
            <w:r>
              <w:rPr>
                <w:color w:val="000000" w:themeColor="text1"/>
                <w:kern w:val="0"/>
                <w:sz w:val="18"/>
                <w:szCs w:val="18"/>
                <w:vertAlign w:val="superscript"/>
              </w:rPr>
              <w:t>3</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46980</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315"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1.3</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土方开挖</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m</w:t>
            </w:r>
            <w:r>
              <w:rPr>
                <w:color w:val="000000" w:themeColor="text1"/>
                <w:kern w:val="0"/>
                <w:sz w:val="18"/>
                <w:szCs w:val="18"/>
                <w:vertAlign w:val="superscript"/>
              </w:rPr>
              <w:t>3</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125280</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315"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1.4</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土方填筑</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m</w:t>
            </w:r>
            <w:r>
              <w:rPr>
                <w:color w:val="000000" w:themeColor="text1"/>
                <w:kern w:val="0"/>
                <w:sz w:val="18"/>
                <w:szCs w:val="18"/>
                <w:vertAlign w:val="superscript"/>
              </w:rPr>
              <w:t>3</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75168</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315"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1.5</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砂石垫层</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m</w:t>
            </w:r>
            <w:r>
              <w:rPr>
                <w:color w:val="000000" w:themeColor="text1"/>
                <w:kern w:val="0"/>
                <w:sz w:val="18"/>
                <w:szCs w:val="18"/>
                <w:vertAlign w:val="superscript"/>
              </w:rPr>
              <w:t>3</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32572.8</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315"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1.6</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齿槽与压顶混凝土C25</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m</w:t>
            </w:r>
            <w:r>
              <w:rPr>
                <w:color w:val="000000" w:themeColor="text1"/>
                <w:kern w:val="0"/>
                <w:sz w:val="18"/>
                <w:szCs w:val="18"/>
                <w:vertAlign w:val="superscript"/>
              </w:rPr>
              <w:t>3</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42595.2</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315"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1.7</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预制块护坡混凝土C25厚8cm</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m</w:t>
            </w:r>
            <w:r>
              <w:rPr>
                <w:color w:val="000000" w:themeColor="text1"/>
                <w:kern w:val="0"/>
                <w:sz w:val="18"/>
                <w:szCs w:val="18"/>
                <w:vertAlign w:val="superscript"/>
              </w:rPr>
              <w:t>3</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21297.6</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85"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1.8</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生态网格混凝土护坡</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m</w:t>
            </w:r>
            <w:r>
              <w:rPr>
                <w:color w:val="000000" w:themeColor="text1"/>
                <w:kern w:val="0"/>
                <w:sz w:val="18"/>
                <w:szCs w:val="18"/>
                <w:vertAlign w:val="superscript"/>
              </w:rPr>
              <w:t>2</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74541.6</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85"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1.9</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平面模板</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m</w:t>
            </w:r>
            <w:r>
              <w:rPr>
                <w:color w:val="000000" w:themeColor="text1"/>
                <w:kern w:val="0"/>
                <w:sz w:val="18"/>
                <w:szCs w:val="18"/>
                <w:vertAlign w:val="superscript"/>
              </w:rPr>
              <w:t>2</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14908.32</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xml:space="preserve">2 </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渠(沟)道建筑物</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2.1</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管线渠段</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2.1.1</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PE100 D355，0.6MPa</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m</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6000</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2.1.2</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PE100 D315，0.6MPa</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m</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6500</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2.1.3</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PE100 D280，0.6MPa</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m</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7000</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2.1.4</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PE100 D250，0.6MPa</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m</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7500</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2.1.5</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PE100 D225，0.6MPa</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m</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8000</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2.1.6</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PE100 D200，0.6MPa</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m</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15000</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3</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提灌站与机井</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85"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3.1</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地下机井闸房</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m</w:t>
            </w:r>
            <w:r>
              <w:rPr>
                <w:color w:val="000000" w:themeColor="text1"/>
                <w:kern w:val="0"/>
                <w:sz w:val="18"/>
                <w:szCs w:val="18"/>
                <w:vertAlign w:val="superscript"/>
              </w:rPr>
              <w:t>2</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60</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3.2</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动力线路</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km</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15</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4</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其他工程</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　</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4.1</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工程简介标牌</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块</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1</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4.2</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双杆宣传牌</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块</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50</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4.3</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管理责任标牌</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块</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50</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4.4</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里程碑</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块</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60</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4.5</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标志桩</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座</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25</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4.6</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界桩</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座</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150</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4.7</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管线标志桩</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块</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115</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r>
        <w:tblPrEx>
          <w:tblCellMar>
            <w:top w:w="0" w:type="dxa"/>
            <w:left w:w="108" w:type="dxa"/>
            <w:bottom w:w="0" w:type="dxa"/>
            <w:right w:w="108" w:type="dxa"/>
          </w:tblCellMar>
        </w:tblPrEx>
        <w:trPr>
          <w:trHeight w:val="270" w:hRule="atLeast"/>
          <w:jc w:val="center"/>
        </w:trPr>
        <w:tc>
          <w:tcPr>
            <w:tcW w:w="4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4.8</w:t>
            </w:r>
          </w:p>
        </w:tc>
        <w:tc>
          <w:tcPr>
            <w:tcW w:w="1793"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其他</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套</w:t>
            </w:r>
          </w:p>
        </w:tc>
        <w:tc>
          <w:tcPr>
            <w:tcW w:w="729" w:type="pct"/>
            <w:tcBorders>
              <w:top w:val="nil"/>
              <w:left w:val="nil"/>
              <w:bottom w:val="single" w:color="auto" w:sz="4" w:space="0"/>
              <w:right w:val="single" w:color="auto" w:sz="4" w:space="0"/>
            </w:tcBorders>
            <w:shd w:val="clear" w:color="auto" w:fill="auto"/>
            <w:noWrap/>
            <w:vAlign w:val="center"/>
          </w:tcPr>
          <w:p>
            <w:pPr>
              <w:widowControl/>
              <w:jc w:val="center"/>
              <w:rPr>
                <w:color w:val="000000" w:themeColor="text1"/>
                <w:kern w:val="0"/>
                <w:sz w:val="18"/>
                <w:szCs w:val="18"/>
              </w:rPr>
            </w:pPr>
            <w:r>
              <w:rPr>
                <w:color w:val="000000" w:themeColor="text1"/>
                <w:kern w:val="0"/>
                <w:sz w:val="18"/>
                <w:szCs w:val="18"/>
              </w:rPr>
              <w:t>1</w:t>
            </w:r>
          </w:p>
        </w:tc>
        <w:tc>
          <w:tcPr>
            <w:tcW w:w="146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rPr>
            </w:pPr>
            <w:r>
              <w:rPr>
                <w:color w:val="000000" w:themeColor="text1"/>
                <w:kern w:val="0"/>
                <w:sz w:val="18"/>
                <w:szCs w:val="18"/>
              </w:rPr>
              <w:t>　</w:t>
            </w:r>
          </w:p>
        </w:tc>
      </w:tr>
    </w:tbl>
    <w:p>
      <w:pPr>
        <w:pStyle w:val="7"/>
        <w:numPr>
          <w:ilvl w:val="0"/>
          <w:numId w:val="0"/>
        </w:numPr>
        <w:adjustRightInd w:val="0"/>
        <w:spacing w:before="0" w:after="0" w:line="560" w:lineRule="exact"/>
        <w:ind w:firstLine="640" w:firstLineChars="200"/>
        <w:jc w:val="both"/>
        <w:rPr>
          <w:rFonts w:ascii="Times New Roman" w:hAnsi="Times New Roman" w:eastAsia="黑体"/>
          <w:b w:val="0"/>
          <w:kern w:val="2"/>
          <w:sz w:val="32"/>
          <w:szCs w:val="32"/>
        </w:rPr>
      </w:pPr>
      <w:r>
        <w:rPr>
          <w:rFonts w:hint="eastAsia" w:ascii="Times New Roman" w:hAnsi="Times New Roman" w:eastAsia="黑体"/>
          <w:b w:val="0"/>
          <w:kern w:val="2"/>
          <w:sz w:val="32"/>
          <w:szCs w:val="32"/>
        </w:rPr>
        <w:t>三、项目建设与运营方式</w:t>
      </w:r>
    </w:p>
    <w:p>
      <w:pPr>
        <w:spacing w:line="560" w:lineRule="exact"/>
        <w:ind w:firstLine="602" w:firstLineChars="200"/>
        <w:rPr>
          <w:rFonts w:hint="eastAsia" w:ascii="楷体" w:hAnsi="楷体" w:eastAsia="楷体" w:cs="楷体"/>
          <w:b/>
          <w:sz w:val="30"/>
          <w:szCs w:val="30"/>
        </w:rPr>
      </w:pPr>
      <w:r>
        <w:rPr>
          <w:rFonts w:hint="eastAsia" w:ascii="楷体" w:hAnsi="楷体" w:eastAsia="楷体" w:cs="楷体"/>
          <w:b/>
          <w:sz w:val="30"/>
          <w:szCs w:val="30"/>
        </w:rPr>
        <w:t>（一）建设及运营主体</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本项目符合昌江区城市总体规划和土地利用总体规划，</w:t>
      </w:r>
      <w:bookmarkStart w:id="4" w:name="_Hlk135038741"/>
      <w:r>
        <w:rPr>
          <w:rFonts w:hint="eastAsia" w:ascii="仿宋" w:hAnsi="仿宋" w:eastAsia="仿宋" w:cs="仿宋"/>
          <w:sz w:val="32"/>
          <w:szCs w:val="32"/>
        </w:rPr>
        <w:t>景德镇市瓷之源建设开发有限公司</w:t>
      </w:r>
      <w:bookmarkEnd w:id="4"/>
      <w:r>
        <w:rPr>
          <w:rFonts w:hint="eastAsia" w:ascii="仿宋" w:hAnsi="仿宋" w:eastAsia="仿宋" w:cs="仿宋"/>
          <w:sz w:val="32"/>
          <w:szCs w:val="32"/>
        </w:rPr>
        <w:t>作为本项目主体，具体承担项目的投融资、建设、管理和运营等职责，由景德镇市昌江区国有资产经营管理有限公司为该项目作保证担保。</w:t>
      </w:r>
    </w:p>
    <w:p>
      <w:pPr>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（二）运营方式</w:t>
      </w:r>
    </w:p>
    <w:p>
      <w:pPr>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本项目采用公司市场化运作模式，景德镇市瓷之源建设开发有限公司作为项目实施主体，项目建设资金由景德镇市瓷之源建设开发有限公司自筹，项目资金必须专款专用，严禁截留挪用，确保项目建设顺利完成，资金运行规范，使用安全，并负责办理项目建设的必要行政审批手续。</w:t>
      </w:r>
    </w:p>
    <w:p>
      <w:pPr>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为确保项目能够顺利实施,提高的市场化运营实力，经区政府研究：同意项目建成后产生的所有收益由景德镇市瓷之源建设开发有限公司自主支配（包括但不限于农田灌溉收入、库容售水、水库清淤产生的砂石销售收入及山田水库流域水面经营租赁收入等），主要用于弥补实施项目的建设资金缺口及支持景德镇市瓷之源建设开发有限公司做大做强。具体为：</w:t>
      </w:r>
    </w:p>
    <w:p>
      <w:pPr>
        <w:pageBreakBefore w:val="0"/>
        <w:kinsoku/>
        <w:wordWrap/>
        <w:overflowPunct/>
        <w:topLinePunct w:val="0"/>
        <w:autoSpaceDE/>
        <w:autoSpaceDN/>
        <w:bidi w:val="0"/>
        <w:spacing w:line="60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1.农田灌溉收入。</w:t>
      </w:r>
      <w:r>
        <w:rPr>
          <w:rFonts w:hint="eastAsia" w:ascii="仿宋" w:hAnsi="仿宋" w:eastAsia="仿宋" w:cs="仿宋"/>
          <w:color w:val="000000" w:themeColor="text1"/>
          <w:sz w:val="32"/>
          <w:szCs w:val="32"/>
        </w:rPr>
        <w:t>本项目改善覆盖的灌区实际灌溉农田面积约1.3万亩所产生的农田灌溉收入。</w:t>
      </w:r>
    </w:p>
    <w:p>
      <w:pPr>
        <w:pageBreakBefore w:val="0"/>
        <w:kinsoku/>
        <w:wordWrap/>
        <w:overflowPunct/>
        <w:topLinePunct w:val="0"/>
        <w:autoSpaceDE/>
        <w:autoSpaceDN/>
        <w:bidi w:val="0"/>
        <w:spacing w:line="60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2.砂石销售收入。</w:t>
      </w:r>
      <w:r>
        <w:rPr>
          <w:rFonts w:hint="eastAsia" w:ascii="仿宋" w:hAnsi="仿宋" w:eastAsia="仿宋" w:cs="仿宋"/>
          <w:color w:val="000000" w:themeColor="text1"/>
          <w:sz w:val="32"/>
          <w:szCs w:val="32"/>
        </w:rPr>
        <w:t>项目通过水库清淤产生的砂石销售收入。优先供给昌江区当地国有平台公司负责实施的重点工程或其他项目建设用途。</w:t>
      </w:r>
    </w:p>
    <w:p>
      <w:pPr>
        <w:pageBreakBefore w:val="0"/>
        <w:kinsoku/>
        <w:wordWrap/>
        <w:overflowPunct/>
        <w:topLinePunct w:val="0"/>
        <w:autoSpaceDE/>
        <w:autoSpaceDN/>
        <w:bidi w:val="0"/>
        <w:spacing w:line="60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3.水面经营权租赁收入。</w:t>
      </w:r>
      <w:r>
        <w:rPr>
          <w:rFonts w:hint="eastAsia" w:ascii="仿宋" w:hAnsi="仿宋" w:eastAsia="仿宋" w:cs="仿宋"/>
          <w:color w:val="000000" w:themeColor="text1"/>
          <w:sz w:val="32"/>
          <w:szCs w:val="32"/>
        </w:rPr>
        <w:t>项目水库综合治理工程和灌区治理工程能够改善月亮湖水域环境，使水环境得到有效提升，主要可用于养殖等租赁。经区政府研究同意，山田水库流域水面经营权无偿划转至景德镇市瓷之源建设开发有限公司，期限为20年。</w:t>
      </w:r>
    </w:p>
    <w:p>
      <w:pPr>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000000" w:themeColor="text1"/>
          <w:sz w:val="32"/>
          <w:szCs w:val="32"/>
        </w:rPr>
        <w:t>上述收入及景德镇市瓷之源建设开发有限公司、景德镇市昌江区国有资产经营管理有限公司公司经营收益均可用于本项目融资的还款来源。以上收入不涉及地方政府隐性债务</w:t>
      </w:r>
      <w:r>
        <w:rPr>
          <w:rFonts w:hint="eastAsia" w:ascii="仿宋" w:hAnsi="仿宋" w:eastAsia="仿宋" w:cs="仿宋"/>
          <w:sz w:val="32"/>
          <w:szCs w:val="32"/>
        </w:rPr>
        <w:t>。</w:t>
      </w:r>
    </w:p>
    <w:p>
      <w:pPr>
        <w:pStyle w:val="7"/>
        <w:keepNext/>
        <w:keepLines/>
        <w:pageBreakBefore w:val="0"/>
        <w:widowControl/>
        <w:numPr>
          <w:ilvl w:val="0"/>
          <w:numId w:val="0"/>
        </w:numPr>
        <w:kinsoku/>
        <w:wordWrap/>
        <w:overflowPunct/>
        <w:topLinePunct w:val="0"/>
        <w:autoSpaceDE/>
        <w:autoSpaceDN/>
        <w:bidi w:val="0"/>
        <w:adjustRightInd w:val="0"/>
        <w:snapToGrid/>
        <w:spacing w:before="0" w:after="0" w:line="600" w:lineRule="exact"/>
        <w:ind w:firstLine="640" w:firstLineChars="200"/>
        <w:jc w:val="both"/>
        <w:textAlignment w:val="auto"/>
        <w:rPr>
          <w:rFonts w:hint="eastAsia" w:ascii="黑体" w:hAnsi="黑体" w:eastAsia="黑体" w:cs="黑体"/>
          <w:b w:val="0"/>
          <w:kern w:val="2"/>
          <w:sz w:val="32"/>
          <w:szCs w:val="32"/>
        </w:rPr>
      </w:pPr>
      <w:bookmarkStart w:id="5" w:name="_Toc313813446"/>
      <w:r>
        <w:rPr>
          <w:rFonts w:hint="eastAsia" w:ascii="黑体" w:hAnsi="黑体" w:eastAsia="黑体" w:cs="黑体"/>
          <w:b w:val="0"/>
          <w:kern w:val="2"/>
          <w:sz w:val="32"/>
          <w:szCs w:val="32"/>
        </w:rPr>
        <w:t>四、</w:t>
      </w:r>
      <w:bookmarkEnd w:id="5"/>
      <w:r>
        <w:rPr>
          <w:rFonts w:hint="eastAsia" w:ascii="黑体" w:hAnsi="黑体" w:eastAsia="黑体" w:cs="黑体"/>
          <w:b w:val="0"/>
          <w:kern w:val="2"/>
          <w:sz w:val="32"/>
          <w:szCs w:val="32"/>
        </w:rPr>
        <w:t>项目投资估算</w:t>
      </w:r>
    </w:p>
    <w:p>
      <w:pPr>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（一）项目总投资</w:t>
      </w:r>
    </w:p>
    <w:p>
      <w:pPr>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本项目总投资为45699.65万元。其中：建筑工程费用37665.12万元，设备购置费用178.80万元，安装工程费用2637.88万元，其他费用5217.85万元（含工程其他费1475.01万元，预备费2097.84万元、建设期利息1645.00万元；具体金额以实际施工情况为准。</w:t>
      </w:r>
    </w:p>
    <w:p>
      <w:pPr>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（二）投资计划及资金筹措</w:t>
      </w:r>
    </w:p>
    <w:p>
      <w:pPr>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本项目总投资为45699.65万元，拟申请银行贷款35000.00万元（占总投资的76.59%），其余项目资本金10699.65万元（占总投资的23.41%）需为建设单位权益性资金，由建设单位自筹解决。除资本金外的项目资金如需向银行融资，不得新增政府隐性债务。</w:t>
      </w:r>
    </w:p>
    <w:p>
      <w:pPr>
        <w:pStyle w:val="7"/>
        <w:keepNext/>
        <w:keepLines/>
        <w:pageBreakBefore w:val="0"/>
        <w:widowControl/>
        <w:numPr>
          <w:ilvl w:val="0"/>
          <w:numId w:val="0"/>
        </w:numPr>
        <w:kinsoku/>
        <w:wordWrap/>
        <w:overflowPunct/>
        <w:topLinePunct w:val="0"/>
        <w:autoSpaceDE/>
        <w:autoSpaceDN/>
        <w:bidi w:val="0"/>
        <w:adjustRightInd w:val="0"/>
        <w:snapToGrid/>
        <w:spacing w:before="0" w:after="0" w:line="600" w:lineRule="exact"/>
        <w:ind w:firstLine="640" w:firstLineChars="200"/>
        <w:jc w:val="both"/>
        <w:textAlignment w:val="auto"/>
        <w:rPr>
          <w:rFonts w:hint="eastAsia" w:ascii="黑体" w:hAnsi="黑体" w:eastAsia="黑体" w:cs="黑体"/>
          <w:b w:val="0"/>
          <w:kern w:val="2"/>
          <w:sz w:val="32"/>
          <w:szCs w:val="32"/>
        </w:rPr>
      </w:pPr>
      <w:r>
        <w:rPr>
          <w:rFonts w:hint="eastAsia" w:ascii="黑体" w:hAnsi="黑体" w:eastAsia="黑体" w:cs="黑体"/>
          <w:b w:val="0"/>
          <w:kern w:val="2"/>
          <w:sz w:val="32"/>
          <w:szCs w:val="32"/>
        </w:rPr>
        <w:t>五、项目工作方案</w:t>
      </w:r>
    </w:p>
    <w:p>
      <w:pPr>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（一）项目工作用地方案</w:t>
      </w:r>
    </w:p>
    <w:p>
      <w:pPr>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此项目不涉及新增用地。</w:t>
      </w:r>
    </w:p>
    <w:p>
      <w:pPr>
        <w:pageBreakBefore w:val="0"/>
        <w:kinsoku/>
        <w:wordWrap/>
        <w:overflowPunct/>
        <w:topLinePunct w:val="0"/>
        <w:autoSpaceDE/>
        <w:autoSpaceDN/>
        <w:bidi w:val="0"/>
        <w:spacing w:line="60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（二）建设施工工作方案</w:t>
      </w:r>
    </w:p>
    <w:p>
      <w:pPr>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项目各分项工程实施计划要安排紧凑，工程施工必须严格按照有关规定要求进行，业主、设计、监理和施工单位要密切配合，建立并完善“政府监督、施工监理、企业自检”三级质量保证体系。项目进度控制要实行实时监控，对于临时落后的分项工程，要及时按要求进行调整，确保项目按期高质量完成。</w:t>
      </w:r>
    </w:p>
    <w:p>
      <w:pPr>
        <w:pStyle w:val="7"/>
        <w:keepNext/>
        <w:keepLines/>
        <w:pageBreakBefore w:val="0"/>
        <w:widowControl/>
        <w:numPr>
          <w:ilvl w:val="0"/>
          <w:numId w:val="0"/>
        </w:numPr>
        <w:kinsoku/>
        <w:wordWrap/>
        <w:overflowPunct/>
        <w:topLinePunct w:val="0"/>
        <w:autoSpaceDE/>
        <w:autoSpaceDN/>
        <w:bidi w:val="0"/>
        <w:adjustRightInd w:val="0"/>
        <w:snapToGrid/>
        <w:spacing w:before="0" w:after="0" w:line="600" w:lineRule="exact"/>
        <w:ind w:firstLine="640" w:firstLineChars="200"/>
        <w:jc w:val="both"/>
        <w:textAlignment w:val="auto"/>
        <w:rPr>
          <w:rFonts w:hint="eastAsia" w:ascii="黑体" w:hAnsi="黑体" w:eastAsia="黑体" w:cs="黑体"/>
          <w:b w:val="0"/>
          <w:kern w:val="2"/>
          <w:sz w:val="32"/>
          <w:szCs w:val="32"/>
        </w:rPr>
      </w:pPr>
      <w:r>
        <w:rPr>
          <w:rFonts w:hint="eastAsia" w:ascii="黑体" w:hAnsi="黑体" w:eastAsia="黑体" w:cs="黑体"/>
          <w:b w:val="0"/>
          <w:kern w:val="2"/>
          <w:sz w:val="32"/>
          <w:szCs w:val="32"/>
        </w:rPr>
        <w:t>六、项目管理方案</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（一）组织领导及有关部门职责</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本项目建设由区发改委、自然资源局、农村农业水利局、生态环境局等相关部门配合组织实施,并负责项目建设的指导和资金使用的监督，</w:t>
      </w:r>
      <w:bookmarkStart w:id="6" w:name="_Hlk135041525"/>
      <w:r>
        <w:rPr>
          <w:rFonts w:hint="eastAsia" w:ascii="仿宋" w:hAnsi="仿宋" w:eastAsia="仿宋" w:cs="仿宋"/>
          <w:kern w:val="2"/>
          <w:sz w:val="32"/>
          <w:szCs w:val="32"/>
        </w:rPr>
        <w:t>景德镇市瓷之源建设开发有限公司</w:t>
      </w:r>
      <w:bookmarkEnd w:id="6"/>
      <w:r>
        <w:rPr>
          <w:rFonts w:hint="eastAsia" w:ascii="仿宋" w:hAnsi="仿宋" w:eastAsia="仿宋" w:cs="仿宋"/>
          <w:kern w:val="2"/>
          <w:sz w:val="32"/>
          <w:szCs w:val="32"/>
        </w:rPr>
        <w:t>具体负责项目建设运营和管理，进行具体项目施工的招投标、实施工作，如项目前期已进行部分招投标工作，原招投标手续继续有效，相关单位要与办理好交接手续，确保本项目顺利实施和规范管理。相关单位要加强协作，密切配合，确保本项目顺利实施和规范管理。</w:t>
      </w:r>
    </w:p>
    <w:p>
      <w:pPr>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（二）其它要求</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区发改委、</w:t>
      </w:r>
      <w:r>
        <w:rPr>
          <w:rFonts w:hint="eastAsia" w:ascii="仿宋" w:hAnsi="仿宋" w:eastAsia="仿宋" w:cs="仿宋"/>
          <w:sz w:val="32"/>
          <w:szCs w:val="32"/>
          <w:lang w:val="en-US" w:eastAsia="zh-CN"/>
        </w:rPr>
        <w:t>市自然资源和规划局昌江分局、区</w:t>
      </w:r>
      <w:r>
        <w:rPr>
          <w:rFonts w:hint="eastAsia" w:ascii="仿宋" w:hAnsi="仿宋" w:eastAsia="仿宋" w:cs="仿宋"/>
          <w:sz w:val="32"/>
          <w:szCs w:val="32"/>
        </w:rPr>
        <w:t>农村农业水利局、</w:t>
      </w:r>
      <w:r>
        <w:rPr>
          <w:rFonts w:hint="eastAsia" w:ascii="仿宋" w:hAnsi="仿宋" w:eastAsia="仿宋" w:cs="仿宋"/>
          <w:sz w:val="32"/>
          <w:szCs w:val="32"/>
          <w:lang w:val="en-US" w:eastAsia="zh-CN"/>
        </w:rPr>
        <w:t>昌江</w:t>
      </w:r>
      <w:r>
        <w:rPr>
          <w:rFonts w:hint="eastAsia" w:ascii="仿宋" w:hAnsi="仿宋" w:eastAsia="仿宋" w:cs="仿宋"/>
          <w:sz w:val="32"/>
          <w:szCs w:val="32"/>
        </w:rPr>
        <w:t>生态环境局要负责按照项目申报和建设程序督促建设单位按规定申报相关资料，确保项目建设程序合规；并对项目建设进行开展督导确保项目建设质量符合要求。</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景德镇市瓷之源建设开发有限公司负责协调项目实施期间可能存在的问题。并按项目建设相关要求办理相关合规性手续。</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若项目总投资增加，履行相应的法定程序后，由企业负责追加项目投资。</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各相关部门要加强协作，密切配合，认真组织实施服务项目，按时完成服务项目任务，保证服务数量、质量和效果。确保项目顺利、稳步推进。项目建设管理和投融资过程中遇到的问题，由区政府协调解决。</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5</w:t>
      </w:r>
      <w:r>
        <w:rPr>
          <w:rFonts w:hint="eastAsia" w:ascii="仿宋" w:hAnsi="仿宋" w:eastAsia="仿宋" w:cs="仿宋"/>
          <w:color w:val="000000" w:themeColor="text1"/>
          <w:sz w:val="32"/>
          <w:szCs w:val="32"/>
          <w:lang w:val="en-US" w:eastAsia="zh-CN"/>
        </w:rPr>
        <w:t>.</w:t>
      </w:r>
      <w:r>
        <w:rPr>
          <w:rFonts w:hint="eastAsia" w:ascii="仿宋" w:hAnsi="仿宋" w:eastAsia="仿宋" w:cs="仿宋"/>
          <w:color w:val="000000" w:themeColor="text1"/>
          <w:sz w:val="32"/>
          <w:szCs w:val="32"/>
        </w:rPr>
        <w:t>项目如需向银行融资，同意借款人母公司及其下属子公司将公司经营收入作为融资的还款来源，为保障贷款银行权益，同意景德镇市昌江区国有资产经营管理有限公司按照融资银行的要求提供担保措施，设立资本金账户、贷款资金账户和项目收入账户等专用账户。</w:t>
      </w:r>
    </w:p>
    <w:p>
      <w:pPr>
        <w:pStyle w:val="7"/>
        <w:keepNext/>
        <w:keepLines/>
        <w:pageBreakBefore w:val="0"/>
        <w:widowControl/>
        <w:numPr>
          <w:ilvl w:val="0"/>
          <w:numId w:val="0"/>
        </w:numPr>
        <w:kinsoku/>
        <w:wordWrap/>
        <w:overflowPunct/>
        <w:topLinePunct w:val="0"/>
        <w:autoSpaceDE/>
        <w:autoSpaceDN/>
        <w:bidi w:val="0"/>
        <w:adjustRightInd w:val="0"/>
        <w:snapToGrid/>
        <w:spacing w:before="0" w:after="0" w:line="600" w:lineRule="exact"/>
        <w:ind w:firstLine="640" w:firstLineChars="200"/>
        <w:jc w:val="both"/>
        <w:textAlignment w:val="auto"/>
        <w:rPr>
          <w:rFonts w:hint="eastAsia" w:ascii="黑体" w:hAnsi="黑体" w:eastAsia="黑体" w:cs="黑体"/>
          <w:b w:val="0"/>
          <w:kern w:val="2"/>
          <w:sz w:val="32"/>
          <w:szCs w:val="32"/>
        </w:rPr>
      </w:pPr>
      <w:r>
        <w:rPr>
          <w:rFonts w:hint="eastAsia" w:ascii="黑体" w:hAnsi="黑体" w:eastAsia="黑体" w:cs="黑体"/>
          <w:b w:val="0"/>
          <w:kern w:val="2"/>
          <w:sz w:val="32"/>
          <w:szCs w:val="32"/>
        </w:rPr>
        <w:t>七、附则</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本实施方案下发后，本项目前期实施过程中有关事项与实施方案不一致的，以本实施方案为准。</w:t>
      </w: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pStyle w:val="3"/>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pStyle w:val="3"/>
        <w:rPr>
          <w:rFonts w:hint="eastAsia" w:ascii="方正小标宋简体" w:hAnsi="方正小标宋简体" w:eastAsia="方正小标宋简体" w:cs="方正小标宋简体"/>
          <w:sz w:val="44"/>
          <w:szCs w:val="44"/>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both"/>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sectPr>
          <w:headerReference r:id="rId21" w:type="default"/>
          <w:headerReference r:id="rId22" w:type="even"/>
          <w:type w:val="continuous"/>
          <w:pgSz w:w="11906" w:h="16838"/>
          <w:pgMar w:top="1440" w:right="1417" w:bottom="1440" w:left="1417" w:header="851" w:footer="992" w:gutter="0"/>
          <w:pgNumType w:fmt="decimal"/>
          <w:cols w:space="425" w:num="1"/>
          <w:rtlGutter w:val="0"/>
          <w:docGrid w:type="lines" w:linePitch="312" w:charSpace="0"/>
        </w:sect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27</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5月11日，十一届昌江区政府召开第29次党组会暨第27次常务会，传达学习近期习近平总书记重要讲话精神和党中央、国务院重要文件、会议精神，省、市近期重要文件、会议精神，研究审议有关事项。区委副书记、区政府党组书记、区长伊文斌主持会议。</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中纪委印发的《关于青海省6名领导干部严重违反中央八项规定精神问题查处情况及教训警示的通报》。会议强调，一要筑牢思想防线。政府系统领导干部要以案为鉴、以案为镜、以案为戒，自觉加强党性锻炼和自身修养，时刻绷紧纪律之弦、严格落实中央八项规定及其实施细则精神，真正把思想摆进去、把自己摆进去、把工作摆进去，坚决做到克己慎行、防微杜渐。二要坚持举一反三。政府系统各党组要以钉钉子精神纠治“四风”，深入排查整治“小圈子”吃喝问题，坚决防止反弹回潮、隐形变异、疲劳厌战，坚决打赢作风建设攻坚战持久战。三要树牢主责意识。政府系统各党组要全面从严从实履行好党风廉政建设的主体责任，特别是“一把手”要履行好第一责任人职责，抓好班子、带好队伍，其他班子成员要落实好“一岗双责”，抓好职责范围内和分管领域的党风廉政建设。</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书记尹弘在全省防汛工作调度会上的讲话精神。会议强调，一是思想务必高度重视。要深入贯彻习近平总书记关于防汛救灾工作的重要指示精神，始终坚持人民至上、生命至上的理念，绷紧防汛减灾这根弦，坚决防止认识不足、准备不足、工作不足，坚决克服麻痹思想、侥幸心理和经验主义、惯性思维。二是措施务必扎实有效。要从基础性工作抓起，突出重点，科学运作，提高防汛减灾工作水平，各级有关部门要对本辖区内所有的防洪排涝工程和山塘水库再进行一次拉网式排查，并对发现的问题限期整改，把问题解决在大汛到来之前。要进一步建立和完善防汛工作预案及相应的应急机制，结合实际情况，储备好防汛物资，确保一旦汛情出现，应急物资调得出、用得上。三是责任务必落实到位。各乡镇街道、各成员单位要服从区防指的统一指挥调度。切实加强汛期值班工作，领导干部要全天候保持通讯畅通。要加大对防汛责任制落实情况的督查力度，定期检查，不定期抽查，及时发现问题，立即督促整改。</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市委书记刘锋在2022年度全市综合考核总结暨通报表扬大会上的讲话精神。会议强调，一是要坚定信心。在2022年度全省工业强市、营商环境、市县综合考核等方面，昌江区取得了一定的成绩，市委、市政府高度认可昌江区的工作成绩。全区上下要进一步坚定发展信心、把握发展机遇，人心思齐，鼓足干劲，敢为、想为、有为，在全市乃至全省发展大局中找位置强担当作贡献。二是要正视差距。在看到成绩的同时，也要清醒认识到工作中的短板弱项，认清形势，正视差距，进一步统一思想，迅速行动，以坚定的信心、坚决的态度、有效的措施，推动全区经济社会高质量发展。三是要接续奋斗。全区干部要以更加昂扬的姿态乘势而上、接续奋斗，同心协力、扎实苦干，锚定全年目标任务不动摇，抢拼二季度、决胜“双过半”、冲刺“半年红”，奋力推动高质量发展走在前列。</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会议传达学习了一批法规文件，审议并原则通过了《昌江区人民政府关于公布区政府规范性文件清理结果的决定》《昌江区提升农业产业化发展水平三年行动方案》。</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p>
    <w:p>
      <w:pPr>
        <w:pStyle w:val="3"/>
        <w:rPr>
          <w:rFonts w:hint="eastAsia" w:ascii="仿宋_GB2312" w:hAnsi="仿宋_GB2312" w:eastAsia="仿宋_GB2312" w:cs="仿宋_GB2312"/>
          <w:kern w:val="2"/>
          <w:sz w:val="28"/>
          <w:szCs w:val="28"/>
          <w:lang w:val="en-US" w:eastAsia="zh-CN" w:bidi="ar-SA"/>
        </w:rPr>
      </w:pPr>
    </w:p>
    <w:p>
      <w:pPr>
        <w:pStyle w:val="8"/>
        <w:ind w:left="0" w:leftChars="0" w:firstLine="0" w:firstLineChars="0"/>
        <w:rPr>
          <w:rFonts w:hint="eastAsia"/>
        </w:rPr>
      </w:pPr>
    </w:p>
    <w:p>
      <w:pPr>
        <w:rPr>
          <w:rFonts w:hint="eastAsia"/>
        </w:rPr>
      </w:pPr>
    </w:p>
    <w:p>
      <w:pPr>
        <w:pStyle w:val="2"/>
        <w:rPr>
          <w:rFonts w:hint="eastAsia"/>
        </w:rPr>
      </w:pPr>
    </w:p>
    <w:p>
      <w:pPr>
        <w:pStyle w:val="5"/>
        <w:rPr>
          <w:rFonts w:hint="eastAsia"/>
        </w:rPr>
      </w:pPr>
    </w:p>
    <w:p>
      <w:pPr>
        <w:rPr>
          <w:rFonts w:hint="eastAsia"/>
        </w:rPr>
      </w:pPr>
    </w:p>
    <w:p>
      <w:pPr>
        <w:pStyle w:val="2"/>
        <w:rPr>
          <w:rFonts w:hint="eastAsia"/>
        </w:rPr>
      </w:pPr>
    </w:p>
    <w:p>
      <w:pPr>
        <w:pStyle w:val="5"/>
        <w:rPr>
          <w:rFonts w:hint="eastAsia"/>
        </w:rPr>
      </w:pPr>
    </w:p>
    <w:p>
      <w:pPr>
        <w:rPr>
          <w:rFonts w:hint="eastAsia"/>
        </w:rPr>
      </w:pPr>
    </w:p>
    <w:p>
      <w:pPr>
        <w:pStyle w:val="2"/>
        <w:rPr>
          <w:rFonts w:hint="eastAsia"/>
        </w:rPr>
      </w:pPr>
    </w:p>
    <w:p>
      <w:pPr>
        <w:rPr>
          <w:rFonts w:hint="eastAsia"/>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28</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5月29日，十一届昌江区政府召开第30次党组会暨第28次常务会，传达学习近期习近平总书记重要讲话精神和党中央、国务院重要文件、会议精神，近期省、市重要文件（会议）精神，听取有关工作情况汇报，研究有关事项。区委副书记、区政府党组书记、区长伊文斌主持会议。</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二十届中央财经委员会第一次会议精神。会议强调，要树立正确的产业思维，牢牢把握习近平总书记提出的“五个坚持”重要要求，持续优化营商环境，引导金融行业服务实体经济，持续做好金融风险的防范和化解工作。发展产业要坚持从实际出发，尤其是招商引资时要充分考虑产业发展规律，努力破除资源瓶颈，推动产业集群及园区高质量发展。</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5月19日省委常委会会议精神。会议指出，2019年5月20日至22日，习近平总书记时隔三年再次亲临江西视察指导，为新时代江西改革发展指明了前进方向、提供了根本遵循。会议强调，要继续聚焦“作示范、勇争先”的目标定位和“五个推进”的重要要求，从更深层次上学习习近平总书记视察江西重要讲话精神，突出学思想悟原理，切实增强“四个意识”、坚定“四个自信”、做到“两个维护”，不断强化政治历练、思想淬炼、实践锻炼、专业训练，确保各项工作始终沿着习近平总书记指引的方向奋勇前进。</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会议传达学习了省委副书记、省长叶建春来景调研期间的讲话精神和景德镇国家陶瓷文化传承创新试验区建设领导小组会议精神。</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市营商环境优化升级“一号改革工程”指挥部2023年第三次会议精神。会议要求，要在指标提升上下真功、求实效。深入分析具体差距在哪里、短板有哪些、弱项是什么，加强向上沟通和部门协作。要在改革创新上下真功、求实效。进一步加大重点领域和关键环节攻坚创新力度，新打造一批创新举措，形成“昌江经验”。要在服务企业上下真功、求实效。全区各级各部门要广泛深入企业问需问计，精准掌握企业发展现状和问题困难，强化“自己人”思维，把企业的事当成自己的事，用服务的“多一分周全”，换取企业的“少一分操心”，真正把服务做到企业心坎上。</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了1-4月份全区经济形势分析汇报。会议强调，要坚定信心。今年以来，面对极为复杂的外部形势，在大家的共同努力下，全区经济形势稳中向好的的态势没有改变，要继续努力，把各项工作做好。要补齐短板。发改部门要继续加强向上对接和向外学习，工信部门要尽全力加快入库工作。要稳中求进。持续发力，克难攻坚，奋力完成全年各项目标任务。</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了全区自建房安全隐患排查整治工作情况汇报。会议强调，自建房安全整治工作事关人民群众生命财产安全，要深刻认识开展自建房安全专项整治的极端重要性。牢牢坚守危房不住人的底线，以“时时放心不下”的责任感，扎实推进专项整治工作，在前期认真排查的基础上进行分类整治，以“零容忍”态度对待自建房领域安全风险。</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会议研究审议通过了《昌江区相对集中行政许可权改革实施方案》《关于做好 2023 年全面推进乡村振兴重点工作的实施方案》等事宜。</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pStyle w:val="2"/>
        <w:rPr>
          <w:rFonts w:hint="eastAsia" w:ascii="仿宋" w:hAnsi="仿宋" w:eastAsia="仿宋" w:cs="仿宋"/>
          <w:i w:val="0"/>
          <w:iCs w:val="0"/>
          <w:caps w:val="0"/>
          <w:color w:val="222222"/>
          <w:spacing w:val="8"/>
          <w:kern w:val="0"/>
          <w:sz w:val="32"/>
          <w:szCs w:val="32"/>
          <w:lang w:val="en-US" w:eastAsia="zh-CN" w:bidi="ar-SA"/>
        </w:rPr>
      </w:pPr>
    </w:p>
    <w:p>
      <w:pPr>
        <w:pStyle w:val="5"/>
        <w:rPr>
          <w:rFonts w:hint="eastAsia" w:ascii="仿宋" w:hAnsi="仿宋" w:eastAsia="仿宋" w:cs="仿宋"/>
          <w:i w:val="0"/>
          <w:iCs w:val="0"/>
          <w:caps w:val="0"/>
          <w:color w:val="222222"/>
          <w:spacing w:val="8"/>
          <w:kern w:val="0"/>
          <w:sz w:val="32"/>
          <w:szCs w:val="32"/>
          <w:lang w:val="en-US" w:eastAsia="zh-CN" w:bidi="ar-SA"/>
        </w:rPr>
      </w:pPr>
    </w:p>
    <w:p>
      <w:pPr>
        <w:rPr>
          <w:rFonts w:hint="eastAsia" w:ascii="仿宋" w:hAnsi="仿宋" w:eastAsia="仿宋" w:cs="仿宋"/>
          <w:i w:val="0"/>
          <w:iCs w:val="0"/>
          <w:caps w:val="0"/>
          <w:color w:val="222222"/>
          <w:spacing w:val="8"/>
          <w:kern w:val="0"/>
          <w:sz w:val="32"/>
          <w:szCs w:val="32"/>
          <w:lang w:val="en-US" w:eastAsia="zh-CN" w:bidi="ar-SA"/>
        </w:rPr>
      </w:pPr>
    </w:p>
    <w:p>
      <w:pPr>
        <w:pStyle w:val="2"/>
        <w:rPr>
          <w:rFonts w:hint="eastAsia" w:ascii="仿宋" w:hAnsi="仿宋" w:eastAsia="仿宋" w:cs="仿宋"/>
          <w:i w:val="0"/>
          <w:iCs w:val="0"/>
          <w:caps w:val="0"/>
          <w:color w:val="222222"/>
          <w:spacing w:val="8"/>
          <w:kern w:val="0"/>
          <w:sz w:val="32"/>
          <w:szCs w:val="32"/>
          <w:lang w:val="en-US" w:eastAsia="zh-CN" w:bidi="ar-SA"/>
        </w:rPr>
      </w:pPr>
    </w:p>
    <w:p>
      <w:pPr>
        <w:pStyle w:val="5"/>
        <w:rPr>
          <w:rFonts w:hint="eastAsia" w:ascii="仿宋" w:hAnsi="仿宋" w:eastAsia="仿宋" w:cs="仿宋"/>
          <w:i w:val="0"/>
          <w:iCs w:val="0"/>
          <w:caps w:val="0"/>
          <w:color w:val="222222"/>
          <w:spacing w:val="8"/>
          <w:kern w:val="0"/>
          <w:sz w:val="32"/>
          <w:szCs w:val="32"/>
          <w:lang w:val="en-US" w:eastAsia="zh-CN" w:bidi="ar-SA"/>
        </w:rPr>
      </w:pPr>
    </w:p>
    <w:p>
      <w:pPr>
        <w:rPr>
          <w:rFonts w:hint="eastAsia" w:ascii="仿宋" w:hAnsi="仿宋" w:eastAsia="仿宋" w:cs="仿宋"/>
          <w:i w:val="0"/>
          <w:iCs w:val="0"/>
          <w:caps w:val="0"/>
          <w:color w:val="222222"/>
          <w:spacing w:val="8"/>
          <w:kern w:val="0"/>
          <w:sz w:val="32"/>
          <w:szCs w:val="32"/>
          <w:lang w:val="en-US" w:eastAsia="zh-CN" w:bidi="ar-SA"/>
        </w:rPr>
      </w:pPr>
    </w:p>
    <w:p>
      <w:pPr>
        <w:pStyle w:val="2"/>
        <w:rPr>
          <w:rFonts w:hint="eastAsia" w:ascii="仿宋" w:hAnsi="仿宋" w:eastAsia="仿宋" w:cs="仿宋"/>
          <w:i w:val="0"/>
          <w:iCs w:val="0"/>
          <w:caps w:val="0"/>
          <w:color w:val="222222"/>
          <w:spacing w:val="8"/>
          <w:kern w:val="0"/>
          <w:sz w:val="32"/>
          <w:szCs w:val="32"/>
          <w:lang w:val="en-US" w:eastAsia="zh-CN" w:bidi="ar-SA"/>
        </w:rPr>
      </w:pPr>
    </w:p>
    <w:p>
      <w:pPr>
        <w:pStyle w:val="5"/>
        <w:rPr>
          <w:rFonts w:hint="eastAsia" w:ascii="仿宋" w:hAnsi="仿宋" w:eastAsia="仿宋" w:cs="仿宋"/>
          <w:i w:val="0"/>
          <w:iCs w:val="0"/>
          <w:caps w:val="0"/>
          <w:color w:val="222222"/>
          <w:spacing w:val="8"/>
          <w:kern w:val="0"/>
          <w:sz w:val="32"/>
          <w:szCs w:val="32"/>
          <w:lang w:val="en-US" w:eastAsia="zh-CN" w:bidi="ar-SA"/>
        </w:rPr>
      </w:pPr>
    </w:p>
    <w:p>
      <w:pPr>
        <w:rPr>
          <w:rFonts w:hint="eastAsia" w:ascii="仿宋" w:hAnsi="仿宋" w:eastAsia="仿宋" w:cs="仿宋"/>
          <w:i w:val="0"/>
          <w:iCs w:val="0"/>
          <w:caps w:val="0"/>
          <w:color w:val="222222"/>
          <w:spacing w:val="8"/>
          <w:kern w:val="0"/>
          <w:sz w:val="32"/>
          <w:szCs w:val="32"/>
          <w:lang w:val="en-US" w:eastAsia="zh-CN" w:bidi="ar-SA"/>
        </w:rPr>
      </w:pPr>
    </w:p>
    <w:p>
      <w:pPr>
        <w:pStyle w:val="2"/>
        <w:rPr>
          <w:rFonts w:hint="eastAsia"/>
          <w:lang w:val="en-US" w:eastAsia="zh-CN"/>
        </w:rPr>
      </w:pPr>
    </w:p>
    <w:p>
      <w:pPr>
        <w:pStyle w:val="5"/>
        <w:rPr>
          <w:rFonts w:hint="eastAsia"/>
          <w:lang w:val="en-US" w:eastAsia="zh-CN"/>
        </w:rPr>
      </w:pPr>
    </w:p>
    <w:p>
      <w:pPr>
        <w:rPr>
          <w:rFonts w:hint="eastAsia"/>
          <w:lang w:val="en-US" w:eastAsia="zh-CN"/>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29</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pPr>
      <w:r>
        <w:rPr>
          <w:rFonts w:hint="eastAsia" w:eastAsia="仿宋"/>
          <w:b/>
          <w:bCs/>
          <w:sz w:val="32"/>
          <w:szCs w:val="32"/>
          <w:lang w:eastAsia="zh-CN"/>
        </w:rPr>
        <w:t>伊文斌主持</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6月13日，十一届昌江区政府召开第31次党组会暨第29次常务会，传达学习近期习近平总书记重要讲话精神和党中央、国务院重要文件、会议精神，近期省、市重要文件、会议精神，听取有关工作情况汇报，研究有关事项。区委副书记、区政府党组书记、区长伊文斌主持会议。</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习近平总书记在中共中央政治局第五次集体学习时的重要讲话精神。会议强调，要强化凝心铸魂。着力加强社会主义核心价值观教育，引导学生树立坚定的理想信念，永远听党话、跟党走，矢志奉献国家和人民；要提升基础教育。推进学前教育普及普惠，安全优质发展，推动义务教育优质均衡发展和城乡一体化；要加强师资建设。把加强教师队伍建设作为建设教育强国最重要的基础工作来抓，弘扬尊师重教社会风尚，大力培养造就一支师德高尚、业务精湛、结构合理、充满活力的高素质专业化教师队伍。</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农村工作领导小组会议精神。会议强调，要毫不动摇抓好粮食生产。严格落实粮食安全党政同责，全面落实强农惠农补贴政策，强化粮食生产要素保障，实行最严格的耕地保护制度，大力实施种业振兴行动，促进粮食稳产增产；要巩固拓展脱贫攻坚成果。坚持常态化排查和集中排查相结合，完善落实防止返贫动态监测帮扶机制，健全脱贫群众就业帮扶体系，坚决守住不发生规模性返贫底线，促进农民持续稳定增收；要加快发展壮大乡村产业。坚持向特色要空间，培育更多绿色、安全、优质的农副产品，优化生产区域布局，努力打造乡村特色产业发展高地。</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全市贸易兴市工作推进会精神。会议强调，思想上要“绷紧弦”、目标上要“瞄准靶”、行动上要“拉满弓”。各相关单位和部门，要从加强平台建设、畅通物流渠道、培育企业主体、促进消费活动等方面同时发力，促进内外贸一体化发展，大力推进贸易兴区。</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了全区生活垃圾分类工作推进情况汇报。会议强调，要深入贯彻落实《江西省生活垃圾管理条例》，大力推进垃圾源头减量，加强垃圾分类投、收、运、处设施建管，精心谋划、真抓实干，切实做好垃圾分类推进工作。</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了区城管系统作风及腐败问题专项治理工作情况汇报。会议强调，要进一步提高思想认识，坚持问题导向，加强组织领导，以过硬的作风，全力打造一支“崇法善治、忠诚为民、公正清廉、砥砺奋进”的昌江城管执法队伍。</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会议研究审议通过了《关于在全区政府系统大兴调查研究的工作方案》。</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rPr>
          <w:rFonts w:hint="eastAsia"/>
          <w:lang w:eastAsia="zh-CN"/>
        </w:rPr>
      </w:pPr>
    </w:p>
    <w:p>
      <w:pPr>
        <w:pStyle w:val="2"/>
        <w:ind w:left="0" w:leftChars="0" w:firstLine="0" w:firstLineChars="0"/>
        <w:rPr>
          <w:rFonts w:hint="eastAsia"/>
          <w:lang w:eastAsia="zh-CN"/>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30</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rPr>
      </w:pPr>
      <w:r>
        <w:rPr>
          <w:rFonts w:hint="eastAsia" w:eastAsia="仿宋"/>
          <w:b/>
          <w:bCs/>
          <w:sz w:val="32"/>
          <w:szCs w:val="32"/>
          <w:lang w:eastAsia="zh-CN"/>
        </w:rPr>
        <w:t>伊文斌主持</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6月29日，十一届昌江区政府召开第32次党组会暨第30次常务会，传达学习近期习近平总书记重要讲话精神和党中央、国务院重要文件、会议精神，省、市重要文件、会议精神，听取有关工作情况汇报，研究相关事项。区委副书记、区政府党组书记、区长伊文斌主持会议。</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近期《求是》杂志发表的习近平总书记重要文章。会议强调，要认真学习领会习近平总书记重要讲话精神，把全的要求、严的基调、治的理念落实到全面从严治党体系的构建之中。要严格按照全面从严治党的工作要求，结合昌江实际，推动全面从严治党向纵深发展。要加强纪律教育，加快构建内涵丰富、功能完备、运行高效的全面从严治党体系。</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书记尹弘在省委财经委员会第十六次会议上的讲话精神。会议强调，要发展壮大乡村产业，坚持向特色要空间，全面实施好种业振兴行动，全面推动现代农业提质提效。要持续推进工业强区，大力发展先进制造业，推动重点优势产业做优做强做大。要大力推进商贸兴区，多措并举扩大有效需求，创新和丰富消费场景，培育更多新兴消费热点。</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关于开展全市干部作风突出问题专项治理的实施方案》的通知。会议强调，要筑牢思想防线，以案为鉴、以案为镜、以案为戒，自觉加强党性锻炼和自身修养，时刻绷紧纪律之弦，坚决做到克己慎行、防微杜渐。要坚持举一反三，以钉钉子精神纠治“四风”，深入排查整治“小圈子”吃喝问题，坚决防止反弹回潮、隐形变异、疲劳厌战，坚决打赢作风建设攻坚战持久战。要树牢主责意识，全面从严从实履行好党风廉政建设的主体责任，履行好第一责任人职责，抓好班子、带好队伍，抓好职责范围内和分管领域的党风廉政建设。</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省政府主要领导在《关于河南虞城“麦田里长出高楼”相关问题查处情况的通报》上的批示精神。会议强调，各有关单位要坚决守住政治底线、安全底线，时刻警钟长鸣，对“两违”建筑露头就打，坚决防止“非农化”“非粮化”。</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会议听取了1-5月全区重点工程建设情况汇报；审议并原则通过了《昌江区2023年金融工作要点》《昌江区机关事业单位编外聘用工作人员管理办法（试行）》。</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p>
    <w:sectPr>
      <w:headerReference r:id="rId23" w:type="default"/>
      <w:headerReference r:id="rId24"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2122" o:spid="_x0000_s2122" o:spt="202" type="#_x0000_t202" style="position:absolute;left:0pt;margin-top:0pt;height:144pt;width:144pt;mso-position-horizontal:outside;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4"/>
                </w:pP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4"/>
      </w:rPr>
    </w:pPr>
    <w:r>
      <w:rPr>
        <w:sz w:val="24"/>
      </w:rPr>
      <w:pict>
        <v:shape id="_x0000_s2144" o:spid="_x0000_s2144" o:spt="202" type="#_x0000_t202" style="position:absolute;left:0pt;margin-top:0pt;height:144pt;width:144pt;mso-position-horizontal:center;mso-position-horizontal-relative:margin;mso-wrap-style:none;z-index:251677696;mso-width-relative:page;mso-height-relative:page;" filled="f" stroked="f" coordsize="21600,21600">
          <v:path/>
          <v:fill on="f" focussize="0,0"/>
          <v:stroke on="f"/>
          <v:imagedata o:title=""/>
          <o:lock v:ext="edit" aspectratio="f"/>
          <v:textbox inset="0mm,0mm,0mm,0mm" style="mso-fit-shape-to-text:t;">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2123" o:spid="_x0000_s2123"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ind w:right="560"/>
      <w:jc w:val="right"/>
      <w:rPr>
        <w:rFonts w:ascii="宋体" w:hAnsi="宋体"/>
        <w:sz w:val="28"/>
        <w:szCs w:val="28"/>
      </w:rPr>
    </w:pPr>
    <w:r>
      <w:rPr>
        <w:sz w:val="28"/>
      </w:rPr>
      <w:pict>
        <v:shape id="_x0000_s2124" o:spid="_x0000_s2124"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r>
      <w:rPr>
        <w:rFonts w:hint="eastAsia" w:ascii="宋体" w:hAnsi="宋体"/>
        <w:sz w:val="28"/>
        <w:szCs w:val="28"/>
      </w:rPr>
      <w:t xml:space="preserve"> </w:t>
    </w:r>
  </w:p>
  <w:p>
    <w:pPr>
      <w:pStyle w:val="14"/>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2125" o:spid="_x0000_s2125" o:spt="202" type="#_x0000_t202" style="position:absolute;left:0pt;margin-top:0pt;height:144pt;width:144pt;mso-position-horizontal:outside;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4"/>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2126" o:spid="_x0000_s2126" o:spt="202" type="#_x0000_t202" style="position:absolute;left:0pt;margin-top:0pt;height:144pt;width:144pt;mso-position-horizontal:outside;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14"/>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4"/>
      </w:rPr>
    </w:pPr>
    <w:r>
      <w:rPr>
        <w:sz w:val="24"/>
      </w:rPr>
      <w:pict>
        <v:shape id="_x0000_s2127" o:spid="_x0000_s2127"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w:pict>
        <v:shape id="_x0000_s2133" o:spid="_x0000_s2133"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v:imagedata o:title=""/>
          <o:lock v:ext="edit" aspectratio="f"/>
          <v:textbox inset="0mm,0mm,0mm,0mm" style="mso-fit-shape-to-text:t;">
            <w:txbxContent>
              <w:p>
                <w:pPr>
                  <w:pStyle w:val="14"/>
                  <w:ind w:firstLine="280" w:firstLineChars="100"/>
                  <w:rPr>
                    <w:rStyle w:val="23"/>
                    <w:rFonts w:hint="eastAsia" w:ascii="宋体" w:hAnsi="宋体"/>
                    <w:sz w:val="28"/>
                    <w:szCs w:val="28"/>
                  </w:rPr>
                </w:pPr>
                <w:r>
                  <w:rPr>
                    <w:rStyle w:val="23"/>
                    <w:rFonts w:hint="eastAsia"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8</w:t>
                </w:r>
                <w:r>
                  <w:rPr>
                    <w:rFonts w:ascii="宋体" w:hAnsi="宋体"/>
                    <w:sz w:val="28"/>
                    <w:szCs w:val="28"/>
                  </w:rPr>
                  <w:fldChar w:fldCharType="end"/>
                </w:r>
                <w:r>
                  <w:rPr>
                    <w:rStyle w:val="23"/>
                    <w:rFonts w:hint="eastAsia" w:ascii="宋体" w:hAnsi="宋体"/>
                    <w:sz w:val="28"/>
                    <w:szCs w:val="28"/>
                  </w:rPr>
                  <w:t xml:space="preserve"> —</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4"/>
      </w:rPr>
    </w:pPr>
    <w:r>
      <w:rPr>
        <w:sz w:val="24"/>
      </w:rPr>
      <w:pict>
        <v:shape id="_x0000_s2142" o:spid="_x0000_s2142" o:spt="202" type="#_x0000_t202" style="position:absolute;left:0pt;margin-top:0pt;height:144pt;width:144pt;mso-position-horizontal:center;mso-position-horizontal-relative:margin;mso-wrap-style:none;z-index:251676672;mso-width-relative:page;mso-height-relative:page;" filled="f" stroked="f" coordsize="21600,21600">
          <v:path/>
          <v:fill on="f" focussize="0,0"/>
          <v:stroke on="f"/>
          <v:imagedata o:title=""/>
          <o:lock v:ext="edit" aspectratio="f"/>
          <v:textbox inset="0mm,0mm,0mm,0mm" style="mso-fit-shape-to-text:t;">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w:pict>
        <v:shape id="_x0000_s2146" o:spid="_x0000_s2146" o:spt="202" type="#_x0000_t202" style="position:absolute;left:0pt;margin-top:0pt;height:144pt;width:144pt;mso-position-horizontal:center;mso-position-horizontal-relative:margin;mso-wrap-style:none;z-index:251678720;mso-width-relative:page;mso-height-relative:page;" filled="f" stroked="f" coordsize="21600,21600">
          <v:path/>
          <v:fill on="f" focussize="0,0"/>
          <v:stroke on="f"/>
          <v:imagedata o:title=""/>
          <o:lock v:ext="edit" aspectratio="f"/>
          <v:textbox inset="0mm,0mm,0mm,0mm" style="mso-fit-shape-to-text:t;">
            <w:txbxContent>
              <w:p>
                <w:pPr>
                  <w:pStyle w:val="14"/>
                  <w:ind w:firstLine="280" w:firstLineChars="100"/>
                  <w:rPr>
                    <w:rStyle w:val="23"/>
                    <w:rFonts w:hint="eastAsia" w:ascii="宋体" w:hAnsi="宋体"/>
                    <w:sz w:val="28"/>
                    <w:szCs w:val="28"/>
                  </w:rPr>
                </w:pPr>
                <w:r>
                  <w:rPr>
                    <w:rStyle w:val="23"/>
                    <w:rFonts w:hint="eastAsia"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8</w:t>
                </w:r>
                <w:r>
                  <w:rPr>
                    <w:rFonts w:ascii="宋体" w:hAnsi="宋体"/>
                    <w:sz w:val="28"/>
                    <w:szCs w:val="28"/>
                  </w:rPr>
                  <w:fldChar w:fldCharType="end"/>
                </w:r>
                <w:r>
                  <w:rPr>
                    <w:rStyle w:val="23"/>
                    <w:rFonts w:hint="eastAsia" w:ascii="宋体" w:hAnsi="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w:pict>
        <v:shape id="_x0000_s2152" o:spid="_x0000_s2152"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path/>
          <v:fill on="f" focussize="0,0"/>
          <v:stroke on="f" weight="0.5pt"/>
          <v:imagedata o:title=""/>
          <o:lock v:ext="edit" aspectratio="f"/>
          <v:textbox inset="0mm,0mm,0mm,0mm" style="mso-fit-shape-to-text:t;">
            <w:txbxContent>
              <w:p>
                <w:pPr>
                  <w:pStyle w:val="10"/>
                </w:pPr>
              </w:p>
            </w:txbxContent>
          </v:textbox>
        </v:shape>
      </w:pict>
    </w:r>
    <w:r>
      <w:rPr>
        <w:rFonts w:hint="eastAsia" w:ascii="楷体" w:hAnsi="楷体" w:eastAsia="楷体" w:cs="楷体"/>
        <w:sz w:val="24"/>
        <w:szCs w:val="40"/>
        <w:lang w:eastAsia="zh-CN"/>
      </w:rPr>
      <w:t>区政府办公室文件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left"/>
      <w:rPr>
        <w:rFonts w:hint="eastAsia" w:ascii="楷体" w:hAnsi="楷体" w:eastAsia="楷体" w:cs="楷体"/>
        <w:sz w:val="24"/>
        <w:lang w:eastAsia="zh-CN"/>
      </w:rPr>
    </w:pPr>
    <w:r>
      <w:rPr>
        <w:rFonts w:ascii="楷体" w:hAnsi="楷体" w:eastAsia="楷体" w:cs="楷体"/>
        <w:sz w:val="24"/>
      </w:rPr>
      <w:pict>
        <v:shape id="_x0000_s2153" o:spid="_x0000_s2153"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path/>
          <v:fill on="f" focussize="0,0"/>
          <v:stroke on="f" weight="0.5pt"/>
          <v:imagedata o:title=""/>
          <o:lock v:ext="edit" aspectratio="f"/>
          <v:textbox inset="0mm,0mm,0mm,0mm" style="mso-fit-shape-to-text:t;">
            <w:txbxContent>
              <w:p>
                <w:pPr>
                  <w:pStyle w:val="10"/>
                </w:pPr>
              </w:p>
            </w:txbxContent>
          </v:textbox>
        </v:shape>
      </w:pict>
    </w:r>
    <w:r>
      <w:rPr>
        <w:rFonts w:hint="eastAsia" w:ascii="楷体" w:hAnsi="楷体" w:eastAsia="楷体" w:cs="楷体"/>
        <w:sz w:val="24"/>
        <w:lang w:eastAsia="zh-CN"/>
      </w:rPr>
      <w:t>政务动态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w:pict>
        <v:shape id="_x0000_s2154" o:spid="_x0000_s2154" o:spt="202" type="#_x0000_t202" style="position:absolute;left:0pt;margin-top:0pt;height:144pt;width:144pt;mso-position-horizontal:outside;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path/>
          <v:fill on="f" focussize="0,0"/>
          <v:stroke on="f" weight="0.5pt"/>
          <v:imagedata o:title=""/>
          <o:lock v:ext="edit" aspectratio="f"/>
          <v:textbox inset="0mm,0mm,0mm,0mm" style="mso-fit-shape-to-text:t;">
            <w:txbxContent>
              <w:p>
                <w:pPr>
                  <w:pStyle w:val="10"/>
                </w:pPr>
              </w:p>
            </w:txbxContent>
          </v:textbox>
        </v:shape>
      </w:pict>
    </w:r>
    <w:r>
      <w:rPr>
        <w:rFonts w:hint="eastAsia" w:ascii="楷体" w:hAnsi="楷体" w:eastAsia="楷体" w:cs="楷体"/>
        <w:sz w:val="24"/>
        <w:szCs w:val="40"/>
        <w:lang w:eastAsia="zh-CN"/>
      </w:rPr>
      <w:t>政务动态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w:pict>
        <v:shape id="_x0000_s2085" o:spid="_x0000_s2085"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0"/>
                  <w:pBdr>
                    <w:left w:val="none" w:color="auto" w:sz="0" w:space="14"/>
                  </w:pBdr>
                </w:pPr>
              </w:p>
            </w:txbxContent>
          </v:textbox>
        </v:shape>
      </w:pict>
    </w:r>
    <w:r>
      <w:rPr>
        <w:rFonts w:ascii="楷体" w:hAnsi="楷体" w:eastAsia="楷体" w:cs="楷体"/>
        <w:sz w:val="24"/>
      </w:rPr>
      <w:tab/>
    </w:r>
  </w:p>
  <w:p>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left"/>
      <w:rPr>
        <w:rFonts w:hint="eastAsia" w:ascii="楷体" w:hAnsi="楷体" w:eastAsia="楷体" w:cs="楷体"/>
        <w:sz w:val="24"/>
        <w:lang w:eastAsia="zh-CN"/>
      </w:rPr>
    </w:pPr>
    <w:r>
      <w:rPr>
        <w:rFonts w:ascii="楷体" w:hAnsi="楷体" w:eastAsia="楷体" w:cs="楷体"/>
        <w:sz w:val="24"/>
      </w:rPr>
      <w:pict>
        <v:shape id="_x0000_s2050" o:spid="_x0000_s2050"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path/>
          <v:fill on="f" focussize="0,0"/>
          <v:stroke on="f" weight="0.5pt"/>
          <v:imagedata o:title=""/>
          <o:lock v:ext="edit" aspectratio="f"/>
          <v:textbox inset="0mm,0mm,0mm,0mm" style="mso-fit-shape-to-text:t;">
            <w:txbxContent>
              <w:p>
                <w:pPr>
                  <w:pStyle w:val="10"/>
                </w:pPr>
              </w:p>
            </w:txbxContent>
          </v:textbox>
        </v:shape>
      </w:pict>
    </w:r>
    <w:r>
      <w:rPr>
        <w:rFonts w:hint="eastAsia" w:ascii="楷体" w:hAnsi="楷体" w:eastAsia="楷体" w:cs="楷体"/>
        <w:sz w:val="24"/>
        <w:lang w:eastAsia="zh-CN"/>
      </w:rPr>
      <w:t>区政府办公室文件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w:pict>
        <v:shape id="_x0000_s2049" o:spid="_x0000_s2049"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path/>
          <v:fill on="f" focussize="0,0"/>
          <v:stroke on="f" weight="0.5pt"/>
          <v:imagedata o:title=""/>
          <o:lock v:ext="edit" aspectratio="f"/>
          <v:textbox inset="0mm,0mm,0mm,0mm" style="mso-fit-shape-to-text:t;">
            <w:txbxContent>
              <w:p>
                <w:pPr>
                  <w:pStyle w:val="10"/>
                </w:pPr>
              </w:p>
            </w:txbxContent>
          </v:textbox>
        </v:shape>
      </w:pic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left"/>
      <w:rPr>
        <w:rFonts w:hint="eastAsia" w:ascii="楷体" w:hAnsi="楷体" w:eastAsia="楷体" w:cs="楷体"/>
        <w:sz w:val="24"/>
        <w:lang w:eastAsia="zh-CN"/>
      </w:rPr>
    </w:pPr>
    <w:r>
      <w:rPr>
        <w:rFonts w:ascii="楷体" w:hAnsi="楷体" w:eastAsia="楷体" w:cs="楷体"/>
        <w:sz w:val="24"/>
      </w:rPr>
      <w:pict>
        <v:shape id="_x0000_s2151" o:spid="_x0000_s2151"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path/>
          <v:fill on="f" focussize="0,0"/>
          <v:stroke on="f" weight="0.5pt"/>
          <v:imagedata o:title=""/>
          <o:lock v:ext="edit" aspectratio="f"/>
          <v:textbox inset="0mm,0mm,0mm,0mm" style="mso-fit-shape-to-text:t;">
            <w:txbxContent>
              <w:p>
                <w:pPr>
                  <w:pStyle w:val="10"/>
                </w:pPr>
              </w:p>
            </w:txbxContent>
          </v:textbox>
        </v:shape>
      </w:pict>
    </w:r>
    <w:r>
      <w:rPr>
        <w:rFonts w:hint="eastAsia" w:ascii="楷体" w:hAnsi="楷体" w:eastAsia="楷体" w:cs="楷体"/>
        <w:sz w:val="24"/>
        <w:lang w:eastAsia="zh-CN"/>
      </w:rPr>
      <w:t>区政府办公室文件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5305B"/>
    <w:multiLevelType w:val="singleLevel"/>
    <w:tmpl w:val="5F65305B"/>
    <w:lvl w:ilvl="0" w:tentative="0">
      <w:start w:val="2"/>
      <w:numFmt w:val="chineseCounting"/>
      <w:suff w:val="nothing"/>
      <w:lvlText w:val="%1、"/>
      <w:lvlJc w:val="left"/>
      <w:rPr>
        <w:rFonts w:hint="eastAsia"/>
      </w:rPr>
    </w:lvl>
  </w:abstractNum>
  <w:abstractNum w:abstractNumId="1">
    <w:nsid w:val="66825C6A"/>
    <w:multiLevelType w:val="singleLevel"/>
    <w:tmpl w:val="66825C6A"/>
    <w:lvl w:ilvl="0" w:tentative="0">
      <w:start w:val="1"/>
      <w:numFmt w:val="chineseCounting"/>
      <w:lvlText w:val="（%1）"/>
      <w:lvlJc w:val="left"/>
      <w:pPr>
        <w:ind w:left="440" w:hanging="4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M5ZDhlOTA0NTEwNmYyM2FmNjhlOTFjOGU3ZjgxNjEifQ=="/>
    <w:docVar w:name="KSO_WPS_MARK_KEY" w:val="64d370b2-e717-4f48-8538-87160e5dea92"/>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4AF6F74"/>
    <w:rsid w:val="04E821AA"/>
    <w:rsid w:val="0A053062"/>
    <w:rsid w:val="0AB56D90"/>
    <w:rsid w:val="0D4869A1"/>
    <w:rsid w:val="0DE34399"/>
    <w:rsid w:val="0F575C2A"/>
    <w:rsid w:val="113217E0"/>
    <w:rsid w:val="13665CF9"/>
    <w:rsid w:val="16BD2D87"/>
    <w:rsid w:val="1A5348A7"/>
    <w:rsid w:val="1B22309D"/>
    <w:rsid w:val="1B424ADC"/>
    <w:rsid w:val="1B5D67D0"/>
    <w:rsid w:val="1C9457A5"/>
    <w:rsid w:val="1D2151DC"/>
    <w:rsid w:val="1D6D4435"/>
    <w:rsid w:val="1DE54342"/>
    <w:rsid w:val="216533DF"/>
    <w:rsid w:val="21CB0B93"/>
    <w:rsid w:val="221C1533"/>
    <w:rsid w:val="223B63AD"/>
    <w:rsid w:val="22FC3CC3"/>
    <w:rsid w:val="23AA0EFD"/>
    <w:rsid w:val="23C12633"/>
    <w:rsid w:val="247578BD"/>
    <w:rsid w:val="27164CA8"/>
    <w:rsid w:val="289C2917"/>
    <w:rsid w:val="2A373FFE"/>
    <w:rsid w:val="2B66528F"/>
    <w:rsid w:val="2C29284E"/>
    <w:rsid w:val="2C4B3E88"/>
    <w:rsid w:val="2C947940"/>
    <w:rsid w:val="2D8F46B0"/>
    <w:rsid w:val="3034614E"/>
    <w:rsid w:val="30DC4FC6"/>
    <w:rsid w:val="3202725A"/>
    <w:rsid w:val="3316226B"/>
    <w:rsid w:val="33E40064"/>
    <w:rsid w:val="34604F1D"/>
    <w:rsid w:val="363E7C79"/>
    <w:rsid w:val="37423926"/>
    <w:rsid w:val="37CE388A"/>
    <w:rsid w:val="3915103F"/>
    <w:rsid w:val="394F0CC5"/>
    <w:rsid w:val="3AD951C1"/>
    <w:rsid w:val="3E2C1B98"/>
    <w:rsid w:val="3E9F2D5B"/>
    <w:rsid w:val="3F150CA9"/>
    <w:rsid w:val="3F19380F"/>
    <w:rsid w:val="3FD45B34"/>
    <w:rsid w:val="41C042B4"/>
    <w:rsid w:val="43405AA0"/>
    <w:rsid w:val="43D01CFC"/>
    <w:rsid w:val="453D1C04"/>
    <w:rsid w:val="470B6133"/>
    <w:rsid w:val="474A22DE"/>
    <w:rsid w:val="49DC3DB7"/>
    <w:rsid w:val="4A1B6ABD"/>
    <w:rsid w:val="4A6F51E7"/>
    <w:rsid w:val="4C642672"/>
    <w:rsid w:val="527C11E4"/>
    <w:rsid w:val="530C4E64"/>
    <w:rsid w:val="530F3135"/>
    <w:rsid w:val="54DB3A8C"/>
    <w:rsid w:val="55302702"/>
    <w:rsid w:val="564E344F"/>
    <w:rsid w:val="59440008"/>
    <w:rsid w:val="59DC38F4"/>
    <w:rsid w:val="5A202B08"/>
    <w:rsid w:val="5B227780"/>
    <w:rsid w:val="5BDB7A2A"/>
    <w:rsid w:val="5C13654C"/>
    <w:rsid w:val="5DA95F03"/>
    <w:rsid w:val="5EA16081"/>
    <w:rsid w:val="5FAB5EBF"/>
    <w:rsid w:val="60FF3B12"/>
    <w:rsid w:val="618276FA"/>
    <w:rsid w:val="61CF7137"/>
    <w:rsid w:val="62E04C26"/>
    <w:rsid w:val="655C2E84"/>
    <w:rsid w:val="68717953"/>
    <w:rsid w:val="6ADF5585"/>
    <w:rsid w:val="6B270778"/>
    <w:rsid w:val="6B9D5970"/>
    <w:rsid w:val="6D4A722B"/>
    <w:rsid w:val="6DCB2EE3"/>
    <w:rsid w:val="6DE46689"/>
    <w:rsid w:val="6E0B5463"/>
    <w:rsid w:val="6EA45239"/>
    <w:rsid w:val="712C27CA"/>
    <w:rsid w:val="71AB5682"/>
    <w:rsid w:val="741914B9"/>
    <w:rsid w:val="74550BCE"/>
    <w:rsid w:val="757E4AAC"/>
    <w:rsid w:val="76BF2039"/>
    <w:rsid w:val="775C20C1"/>
    <w:rsid w:val="777A1A52"/>
    <w:rsid w:val="78CD45AA"/>
    <w:rsid w:val="79E25F5E"/>
    <w:rsid w:val="7A7638E6"/>
    <w:rsid w:val="7BB85963"/>
    <w:rsid w:val="7D085BBD"/>
    <w:rsid w:val="7ECE23FD"/>
    <w:rsid w:val="7F73644D"/>
    <w:rsid w:val="7F905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spacing w:before="340" w:after="330" w:line="578" w:lineRule="auto"/>
      <w:outlineLvl w:val="0"/>
    </w:pPr>
    <w:rPr>
      <w:b/>
      <w:bCs/>
      <w:kern w:val="44"/>
      <w:sz w:val="44"/>
      <w:szCs w:val="4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pPr>
      <w:widowControl/>
      <w:spacing w:before="100" w:beforeAutospacing="1" w:after="100" w:afterAutospacing="1"/>
      <w:jc w:val="left"/>
    </w:pPr>
    <w:rPr>
      <w:rFonts w:ascii="宋体" w:hAnsi="宋体" w:cs="宋体"/>
      <w:kern w:val="0"/>
      <w:sz w:val="24"/>
    </w:rPr>
  </w:style>
  <w:style w:type="paragraph" w:styleId="4">
    <w:name w:val="Body Text 2"/>
    <w:basedOn w:val="1"/>
    <w:next w:val="3"/>
    <w:qFormat/>
    <w:uiPriority w:val="0"/>
    <w:pPr>
      <w:spacing w:after="120" w:line="480" w:lineRule="auto"/>
    </w:pPr>
    <w:rPr>
      <w:rFonts w:ascii="Times New Roman" w:hAnsi="Times New Roman"/>
    </w:rPr>
  </w:style>
  <w:style w:type="paragraph" w:styleId="5">
    <w:name w:val="Body Text First Indent 2"/>
    <w:basedOn w:val="6"/>
    <w:next w:val="1"/>
    <w:unhideWhenUsed/>
    <w:qFormat/>
    <w:uiPriority w:val="99"/>
    <w:pPr>
      <w:ind w:firstLine="420" w:firstLineChars="200"/>
    </w:pPr>
  </w:style>
  <w:style w:type="paragraph" w:styleId="6">
    <w:name w:val="Body Text Indent"/>
    <w:basedOn w:val="1"/>
    <w:next w:val="1"/>
    <w:unhideWhenUsed/>
    <w:qFormat/>
    <w:uiPriority w:val="99"/>
    <w:pPr>
      <w:spacing w:after="120"/>
      <w:ind w:left="420" w:leftChars="200"/>
    </w:pPr>
  </w:style>
  <w:style w:type="paragraph" w:styleId="8">
    <w:name w:val="toc 5"/>
    <w:basedOn w:val="1"/>
    <w:next w:val="1"/>
    <w:qFormat/>
    <w:uiPriority w:val="0"/>
    <w:pPr>
      <w:ind w:left="1680" w:leftChars="800"/>
    </w:pPr>
    <w:rPr>
      <w:rFonts w:ascii="Times New Roman" w:hAnsi="Times New Roman"/>
      <w:szCs w:val="21"/>
    </w:rPr>
  </w:style>
  <w:style w:type="paragraph" w:styleId="9">
    <w:name w:val="Plain Text"/>
    <w:basedOn w:val="1"/>
    <w:next w:val="10"/>
    <w:qFormat/>
    <w:uiPriority w:val="0"/>
    <w:rPr>
      <w:rFonts w:ascii="宋体" w:hAnsi="Courier New" w:cs="Courier New"/>
      <w:szCs w:val="21"/>
    </w:rPr>
  </w:style>
  <w:style w:type="paragraph" w:styleId="10">
    <w:name w:val="header"/>
    <w:basedOn w:val="1"/>
    <w:next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
    <w:name w:val="BlockQuote"/>
    <w:basedOn w:val="1"/>
    <w:qFormat/>
    <w:uiPriority w:val="0"/>
    <w:pPr>
      <w:ind w:left="1440" w:leftChars="700" w:right="700" w:rightChars="700"/>
      <w:textAlignment w:val="baseline"/>
    </w:pPr>
    <w:rPr>
      <w:rFonts w:ascii="Times New Roman" w:hAnsi="Times New Roman"/>
    </w:rPr>
  </w:style>
  <w:style w:type="paragraph" w:styleId="12">
    <w:name w:val="Body Text Indent 2"/>
    <w:basedOn w:val="1"/>
    <w:link w:val="35"/>
    <w:qFormat/>
    <w:uiPriority w:val="0"/>
    <w:pPr>
      <w:spacing w:after="120" w:line="480" w:lineRule="auto"/>
      <w:ind w:left="420" w:leftChars="200"/>
    </w:pPr>
    <w:rPr>
      <w:rFonts w:ascii="Calibri" w:hAnsi="Calibri" w:eastAsia="宋体" w:cs="黑体"/>
    </w:rPr>
  </w:style>
  <w:style w:type="paragraph" w:styleId="13">
    <w:name w:val="Balloon Text"/>
    <w:basedOn w:val="1"/>
    <w:link w:val="34"/>
    <w:qFormat/>
    <w:uiPriority w:val="0"/>
    <w:rPr>
      <w:sz w:val="18"/>
      <w:szCs w:val="18"/>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toc 2"/>
    <w:basedOn w:val="1"/>
    <w:next w:val="1"/>
    <w:qFormat/>
    <w:uiPriority w:val="0"/>
    <w:pPr>
      <w:ind w:left="420" w:leftChars="200"/>
    </w:pPr>
    <w:rPr>
      <w:rFonts w:ascii="Times New Roman" w:hAnsi="Times New Roman" w:cs="黑体"/>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100" w:beforeAutospacing="1" w:after="100" w:afterAutospacing="1"/>
      <w:jc w:val="left"/>
    </w:pPr>
    <w:rPr>
      <w:rFonts w:ascii="Calibri" w:hAnsi="Calibri"/>
      <w:kern w:val="0"/>
      <w:sz w:val="24"/>
    </w:rPr>
  </w:style>
  <w:style w:type="paragraph" w:styleId="18">
    <w:name w:val="Title"/>
    <w:basedOn w:val="1"/>
    <w:qFormat/>
    <w:uiPriority w:val="0"/>
    <w:pPr>
      <w:spacing w:before="240" w:beforeAutospacing="0" w:after="60" w:afterAutospacing="0"/>
      <w:jc w:val="center"/>
      <w:outlineLvl w:val="0"/>
    </w:pPr>
    <w:rPr>
      <w:rFonts w:ascii="Arial" w:hAnsi="Arial"/>
      <w:b/>
      <w:sz w:val="32"/>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ascii="Times New Roman" w:hAnsi="Times New Roman" w:eastAsia="宋体" w:cs="Times New Roman"/>
      <w:b/>
    </w:rPr>
  </w:style>
  <w:style w:type="character" w:styleId="23">
    <w:name w:val="page number"/>
    <w:basedOn w:val="21"/>
    <w:qFormat/>
    <w:uiPriority w:val="0"/>
  </w:style>
  <w:style w:type="character" w:styleId="24">
    <w:name w:val="Hyperlink"/>
    <w:basedOn w:val="21"/>
    <w:semiHidden/>
    <w:unhideWhenUsed/>
    <w:qFormat/>
    <w:uiPriority w:val="99"/>
    <w:rPr>
      <w:color w:val="0000FF"/>
      <w:u w:val="single"/>
    </w:rPr>
  </w:style>
  <w:style w:type="paragraph" w:customStyle="1" w:styleId="25">
    <w:name w:val="引文目录标题1"/>
    <w:basedOn w:val="1"/>
    <w:next w:val="1"/>
    <w:qFormat/>
    <w:uiPriority w:val="0"/>
    <w:rPr>
      <w:rFonts w:ascii="Cambria" w:hAnsi="Cambria" w:cs="黑体"/>
      <w:sz w:val="24"/>
    </w:rPr>
  </w:style>
  <w:style w:type="paragraph" w:customStyle="1" w:styleId="26">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27">
    <w:name w:val="font41"/>
    <w:basedOn w:val="21"/>
    <w:qFormat/>
    <w:uiPriority w:val="0"/>
    <w:rPr>
      <w:rFonts w:hint="default" w:ascii="Times New Roman" w:hAnsi="Times New Roman" w:cs="Times New Roman"/>
      <w:color w:val="000000"/>
      <w:sz w:val="16"/>
      <w:szCs w:val="16"/>
      <w:u w:val="none"/>
    </w:rPr>
  </w:style>
  <w:style w:type="character" w:customStyle="1" w:styleId="28">
    <w:name w:val="font51"/>
    <w:basedOn w:val="21"/>
    <w:qFormat/>
    <w:uiPriority w:val="0"/>
    <w:rPr>
      <w:rFonts w:hint="eastAsia" w:ascii="宋体" w:hAnsi="宋体" w:eastAsia="宋体" w:cs="宋体"/>
      <w:color w:val="000000"/>
      <w:sz w:val="16"/>
      <w:szCs w:val="16"/>
      <w:u w:val="none"/>
    </w:rPr>
  </w:style>
  <w:style w:type="character" w:customStyle="1" w:styleId="29">
    <w:name w:val="font31"/>
    <w:basedOn w:val="21"/>
    <w:qFormat/>
    <w:uiPriority w:val="0"/>
    <w:rPr>
      <w:rFonts w:hint="eastAsia" w:ascii="宋体" w:hAnsi="宋体" w:eastAsia="宋体" w:cs="宋体"/>
      <w:color w:val="FF0000"/>
      <w:sz w:val="16"/>
      <w:szCs w:val="16"/>
      <w:u w:val="none"/>
    </w:rPr>
  </w:style>
  <w:style w:type="character" w:customStyle="1" w:styleId="30">
    <w:name w:val="font61"/>
    <w:basedOn w:val="21"/>
    <w:qFormat/>
    <w:uiPriority w:val="0"/>
    <w:rPr>
      <w:rFonts w:hint="eastAsia" w:ascii="宋体" w:hAnsi="宋体" w:eastAsia="宋体" w:cs="宋体"/>
      <w:color w:val="000000"/>
      <w:sz w:val="20"/>
      <w:szCs w:val="20"/>
      <w:u w:val="none"/>
    </w:rPr>
  </w:style>
  <w:style w:type="character" w:customStyle="1" w:styleId="31">
    <w:name w:val="font01"/>
    <w:basedOn w:val="21"/>
    <w:qFormat/>
    <w:uiPriority w:val="0"/>
    <w:rPr>
      <w:rFonts w:hint="eastAsia" w:ascii="宋体" w:hAnsi="宋体" w:eastAsia="宋体" w:cs="宋体"/>
      <w:color w:val="333333"/>
      <w:sz w:val="20"/>
      <w:szCs w:val="20"/>
      <w:u w:val="none"/>
    </w:rPr>
  </w:style>
  <w:style w:type="character" w:customStyle="1" w:styleId="32">
    <w:name w:val="font11"/>
    <w:basedOn w:val="21"/>
    <w:qFormat/>
    <w:uiPriority w:val="0"/>
    <w:rPr>
      <w:rFonts w:hint="eastAsia" w:ascii="宋体" w:hAnsi="宋体" w:eastAsia="宋体" w:cs="宋体"/>
      <w:color w:val="000000"/>
      <w:sz w:val="20"/>
      <w:szCs w:val="20"/>
      <w:u w:val="none"/>
    </w:rPr>
  </w:style>
  <w:style w:type="paragraph" w:customStyle="1" w:styleId="33">
    <w:name w:val="WPSOffice手动目录 1"/>
    <w:basedOn w:val="1"/>
    <w:next w:val="5"/>
    <w:qFormat/>
    <w:uiPriority w:val="0"/>
    <w:pPr>
      <w:widowControl/>
      <w:jc w:val="left"/>
    </w:pPr>
    <w:rPr>
      <w:rFonts w:ascii="Times New Roman" w:hAnsi="Times New Roman" w:eastAsia="宋体" w:cs="Times New Roman"/>
      <w:kern w:val="0"/>
      <w:sz w:val="20"/>
      <w:szCs w:val="20"/>
    </w:rPr>
  </w:style>
  <w:style w:type="character" w:customStyle="1" w:styleId="34">
    <w:name w:val="批注框文本 Char"/>
    <w:basedOn w:val="21"/>
    <w:link w:val="13"/>
    <w:qFormat/>
    <w:uiPriority w:val="0"/>
    <w:rPr>
      <w:rFonts w:asciiTheme="minorHAnsi" w:hAnsiTheme="minorHAnsi" w:eastAsiaTheme="minorEastAsia" w:cstheme="minorBidi"/>
      <w:kern w:val="2"/>
      <w:sz w:val="18"/>
      <w:szCs w:val="18"/>
    </w:rPr>
  </w:style>
  <w:style w:type="character" w:customStyle="1" w:styleId="35">
    <w:name w:val="正文文本缩进 2 Char"/>
    <w:basedOn w:val="21"/>
    <w:link w:val="12"/>
    <w:qFormat/>
    <w:uiPriority w:val="0"/>
    <w:rPr>
      <w:rFonts w:ascii="Calibri" w:hAnsi="Calibri" w:cs="黑体"/>
      <w:kern w:val="2"/>
      <w:sz w:val="21"/>
      <w:szCs w:val="24"/>
    </w:rPr>
  </w:style>
  <w:style w:type="paragraph" w:customStyle="1" w:styleId="36">
    <w:name w:val="列出段落1"/>
    <w:basedOn w:val="1"/>
    <w:unhideWhenUsed/>
    <w:qFormat/>
    <w:uiPriority w:val="99"/>
    <w:pPr>
      <w:ind w:firstLine="420" w:firstLineChars="200"/>
    </w:pPr>
    <w:rPr>
      <w:rFonts w:ascii="Calibri" w:hAnsi="Calibri" w:eastAsia="宋体" w:cs="黑体"/>
    </w:rPr>
  </w:style>
  <w:style w:type="paragraph" w:customStyle="1" w:styleId="37">
    <w:name w:val="List Paragraph"/>
    <w:basedOn w:val="1"/>
    <w:unhideWhenUsed/>
    <w:qFormat/>
    <w:uiPriority w:val="99"/>
    <w:pPr>
      <w:ind w:firstLine="420" w:firstLineChars="200"/>
    </w:p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NormalIndent"/>
    <w:basedOn w:val="1"/>
    <w:qFormat/>
    <w:uiPriority w:val="0"/>
    <w:pPr>
      <w:ind w:firstLine="420" w:firstLineChars="200"/>
      <w:textAlignment w:val="baseline"/>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122" textRotate="1"/>
    <customShpInfo spid="_x0000_s2123" textRotate="1"/>
    <customShpInfo spid="_x0000_s2085"/>
    <customShpInfo spid="_x0000_s2124" textRotate="1"/>
    <customShpInfo spid="_x0000_s2125" textRotate="1"/>
    <customShpInfo spid="_x0000_s2126" textRotate="1"/>
    <customShpInfo spid="_x0000_s2050"/>
    <customShpInfo spid="_x0000_s2049"/>
    <customShpInfo spid="_x0000_s2127" textRotate="1"/>
    <customShpInfo spid="_x0000_s2133" textRotate="1"/>
    <customShpInfo spid="_x0000_s2142" textRotate="1"/>
    <customShpInfo spid="_x0000_s2146" textRotate="1"/>
    <customShpInfo spid="_x0000_s2144" textRotate="1"/>
    <customShpInfo spid="_x0000_s2151"/>
    <customShpInfo spid="_x0000_s2152"/>
    <customShpInfo spid="_x0000_s2153"/>
    <customShpInfo spid="_x0000_s2154"/>
    <customShpInfo spid="_x0000_s1026"/>
    <customShpInfo spid="_x0000_s1032"/>
    <customShpInfo spid="_x0000_s1040"/>
    <customShpInfo spid="_x0000_s1031"/>
    <customShpInfo spid="_x0000_s1082"/>
    <customShpInfo spid="_x0000_s1081"/>
    <customShpInfo spid="_x0000_s1043"/>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34</Pages>
  <Words>13357</Words>
  <Characters>14187</Characters>
  <Lines>82</Lines>
  <Paragraphs>23</Paragraphs>
  <TotalTime>6</TotalTime>
  <ScaleCrop>false</ScaleCrop>
  <LinksUpToDate>false</LinksUpToDate>
  <CharactersWithSpaces>14357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触不可及的梦</cp:lastModifiedBy>
  <cp:lastPrinted>2023-11-28T06:45:00Z</cp:lastPrinted>
  <dcterms:modified xsi:type="dcterms:W3CDTF">2024-01-17T01:48:36Z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850CE0623EDE44B89FD845EAF448AEAF</vt:lpwstr>
  </property>
</Properties>
</file>