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D01E1">
      <w:pPr>
        <w:jc w:val="center"/>
      </w:pPr>
      <w:r>
        <w:rPr>
          <w:rFonts w:hint="eastAsia"/>
        </w:rPr>
        <w:drawing>
          <wp:inline distT="0" distB="0" distL="114300" distR="114300">
            <wp:extent cx="2456815" cy="2456815"/>
            <wp:effectExtent l="0" t="0" r="0" b="0"/>
            <wp:docPr id="17" name="图片 17"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国徽1024"/>
                    <pic:cNvPicPr>
                      <a:picLocks noChangeAspect="1"/>
                    </pic:cNvPicPr>
                  </pic:nvPicPr>
                  <pic:blipFill>
                    <a:blip r:embed="rId27" cstate="print"/>
                    <a:stretch>
                      <a:fillRect/>
                    </a:stretch>
                  </pic:blipFill>
                  <pic:spPr>
                    <a:xfrm>
                      <a:off x="0" y="0"/>
                      <a:ext cx="2456815" cy="2456815"/>
                    </a:xfrm>
                    <a:prstGeom prst="rect">
                      <a:avLst/>
                    </a:prstGeom>
                  </pic:spPr>
                </pic:pic>
              </a:graphicData>
            </a:graphic>
          </wp:inline>
        </w:drawing>
      </w:r>
    </w:p>
    <w:p w14:paraId="09ABA463"/>
    <w:p w14:paraId="03DE630A">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118110</wp:posOffset>
                </wp:positionV>
                <wp:extent cx="5323205"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323205" cy="1828800"/>
                        </a:xfrm>
                        <a:prstGeom prst="rect">
                          <a:avLst/>
                        </a:prstGeom>
                        <a:noFill/>
                        <a:ln w="6350">
                          <a:noFill/>
                        </a:ln>
                        <a:effectLst/>
                      </wps:spPr>
                      <wps:txbx>
                        <w:txbxContent>
                          <w:p w14:paraId="66CDE337">
                            <w:pPr>
                              <w:jc w:val="center"/>
                              <w:rPr>
                                <w:rFonts w:ascii="新宋体" w:hAnsi="新宋体" w:eastAsia="新宋体" w:cs="新宋体"/>
                                <w:b/>
                                <w:bCs/>
                                <w:color w:val="FF0000"/>
                                <w:spacing w:val="-57"/>
                                <w:sz w:val="100"/>
                                <w:szCs w:val="100"/>
                              </w:rPr>
                            </w:pPr>
                            <w:r>
                              <w:rPr>
                                <w:rFonts w:hint="eastAsia" w:ascii="方正小标宋简体" w:hAnsi="方正小标宋简体" w:eastAsia="方正小标宋简体" w:cs="方正小标宋简体"/>
                                <w:b/>
                                <w:bCs/>
                                <w:color w:val="FF0000"/>
                                <w:spacing w:val="-6"/>
                                <w:sz w:val="90"/>
                                <w:szCs w:val="90"/>
                              </w:rPr>
                              <w:t>昌江区人民政府公报</w:t>
                            </w:r>
                          </w:p>
                        </w:txbxContent>
                      </wps:txbx>
                      <wps:bodyPr rot="0" spcFirstLastPara="0" vertOverflow="overflow" horzOverflow="overflow" vert="horz" wrap="square" lIns="91440" tIns="45720" rIns="91440" bIns="45720" numCol="1" spcCol="0" rtlCol="0" fromWordArt="0" anchor="t" anchorCtr="0" forceAA="0" compatLnSpc="1">
                        <a:spAutoFit/>
                        <a:scene3d>
                          <a:camera prst="orthographicFront"/>
                          <a:lightRig rig="harsh" dir="t"/>
                        </a:scene3d>
                        <a:sp3d extrusionH="57150" prstMaterial="matte">
                          <a:bevelT w="63500" h="12700" prst="angle"/>
                          <a:contourClr>
                            <a:srgbClr val="A6A6A6">
                              <a:lumMod val="65000"/>
                            </a:srgbClr>
                          </a:contourClr>
                        </a:sp3d>
                      </wps:bodyPr>
                    </wps:wsp>
                  </a:graphicData>
                </a:graphic>
              </wp:anchor>
            </w:drawing>
          </mc:Choice>
          <mc:Fallback>
            <w:pict>
              <v:shape id="_x0000_s1026" o:spid="_x0000_s1026" o:spt="202" type="#_x0000_t202" style="position:absolute;left:0pt;margin-left:0pt;margin-top:9.3pt;height:144pt;width:419.15pt;z-index:251659264;mso-width-relative:page;mso-height-relative:page;" filled="f" stroked="f" coordsize="21600,21600" o:gfxdata="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">
                <v:fill on="f" focussize="0,0"/>
                <v:stroke on="f" weight="0.5pt"/>
                <v:imagedata o:title=""/>
                <o:lock v:ext="edit" aspectratio="f"/>
                <v:textbox style="mso-fit-shape-to-text:t;">
                  <w:txbxContent>
                    <w:p w14:paraId="66CDE337">
                      <w:pPr>
                        <w:jc w:val="center"/>
                        <w:rPr>
                          <w:rFonts w:ascii="新宋体" w:hAnsi="新宋体" w:eastAsia="新宋体" w:cs="新宋体"/>
                          <w:b/>
                          <w:bCs/>
                          <w:color w:val="FF0000"/>
                          <w:spacing w:val="-57"/>
                          <w:sz w:val="100"/>
                          <w:szCs w:val="100"/>
                        </w:rPr>
                      </w:pPr>
                      <w:r>
                        <w:rPr>
                          <w:rFonts w:hint="eastAsia" w:ascii="方正小标宋简体" w:hAnsi="方正小标宋简体" w:eastAsia="方正小标宋简体" w:cs="方正小标宋简体"/>
                          <w:b/>
                          <w:bCs/>
                          <w:color w:val="FF0000"/>
                          <w:spacing w:val="-6"/>
                          <w:sz w:val="90"/>
                          <w:szCs w:val="90"/>
                        </w:rPr>
                        <w:t>昌江区人民政府公报</w:t>
                      </w:r>
                    </w:p>
                  </w:txbxContent>
                </v:textbox>
              </v:shape>
            </w:pict>
          </mc:Fallback>
        </mc:AlternateContent>
      </w:r>
    </w:p>
    <w:p w14:paraId="40263C3A"/>
    <w:p w14:paraId="54FB881F"/>
    <w:p w14:paraId="3AA0CD4E"/>
    <w:p w14:paraId="3C242129"/>
    <w:p w14:paraId="5EF8EA68">
      <w:pPr>
        <w:spacing w:line="400" w:lineRule="exact"/>
        <w:jc w:val="center"/>
        <w:rPr>
          <w:spacing w:val="34"/>
          <w:sz w:val="32"/>
          <w:szCs w:val="32"/>
        </w:rPr>
      </w:pPr>
    </w:p>
    <w:p w14:paraId="5530BBD6">
      <w:pPr>
        <w:spacing w:line="400" w:lineRule="exact"/>
        <w:jc w:val="center"/>
        <w:rPr>
          <w:b/>
          <w:bCs/>
          <w:spacing w:val="34"/>
          <w:sz w:val="32"/>
          <w:szCs w:val="32"/>
        </w:rPr>
      </w:pPr>
      <w:r>
        <w:rPr>
          <w:rFonts w:hint="eastAsia"/>
          <w:b/>
          <w:bCs/>
          <w:spacing w:val="34"/>
          <w:sz w:val="32"/>
          <w:szCs w:val="32"/>
        </w:rPr>
        <w:t>GAZETTE OF THE PEOPLE</w:t>
      </w:r>
      <w:r>
        <w:rPr>
          <w:b/>
          <w:bCs/>
          <w:spacing w:val="34"/>
          <w:sz w:val="32"/>
          <w:szCs w:val="32"/>
        </w:rPr>
        <w:t>’</w:t>
      </w:r>
      <w:r>
        <w:rPr>
          <w:rFonts w:hint="eastAsia"/>
          <w:b/>
          <w:bCs/>
          <w:spacing w:val="34"/>
          <w:sz w:val="32"/>
          <w:szCs w:val="32"/>
        </w:rPr>
        <w:t>S GOVERRNMRNT</w:t>
      </w:r>
    </w:p>
    <w:p w14:paraId="6F6A8609">
      <w:pPr>
        <w:spacing w:line="400" w:lineRule="exact"/>
        <w:jc w:val="center"/>
        <w:rPr>
          <w:b/>
          <w:bCs/>
          <w:spacing w:val="34"/>
          <w:sz w:val="32"/>
          <w:szCs w:val="32"/>
        </w:rPr>
      </w:pPr>
      <w:r>
        <w:rPr>
          <w:rFonts w:hint="eastAsia"/>
          <w:b/>
          <w:bCs/>
          <w:spacing w:val="34"/>
          <w:sz w:val="32"/>
          <w:szCs w:val="32"/>
        </w:rPr>
        <w:t>OF CHANGJIANG DISTRICT</w:t>
      </w:r>
    </w:p>
    <w:p w14:paraId="3FD2E8DC"/>
    <w:p w14:paraId="3FF0F2AE"/>
    <w:p w14:paraId="0A777070"/>
    <w:p w14:paraId="52DD514E"/>
    <w:p w14:paraId="2C31A6B5"/>
    <w:p w14:paraId="3A1EC8B5"/>
    <w:p w14:paraId="3C777F04"/>
    <w:p w14:paraId="19557335"/>
    <w:p w14:paraId="0AD51C96"/>
    <w:p w14:paraId="4D104549"/>
    <w:p w14:paraId="3DA3B7BC"/>
    <w:p w14:paraId="32AF9620"/>
    <w:p w14:paraId="3123A531"/>
    <w:p w14:paraId="6C7FEF22">
      <w:r>
        <mc:AlternateContent>
          <mc:Choice Requires="wps">
            <w:drawing>
              <wp:anchor distT="0" distB="0" distL="114300" distR="114300" simplePos="0" relativeHeight="251660288" behindDoc="0" locked="0" layoutInCell="1" allowOverlap="1">
                <wp:simplePos x="0" y="0"/>
                <wp:positionH relativeFrom="column">
                  <wp:posOffset>1880235</wp:posOffset>
                </wp:positionH>
                <wp:positionV relativeFrom="paragraph">
                  <wp:posOffset>69215</wp:posOffset>
                </wp:positionV>
                <wp:extent cx="1496695"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496695" cy="1828800"/>
                        </a:xfrm>
                        <a:prstGeom prst="rect">
                          <a:avLst/>
                        </a:prstGeom>
                        <a:noFill/>
                        <a:ln w="6350">
                          <a:noFill/>
                        </a:ln>
                        <a:effectLst/>
                      </wps:spPr>
                      <wps:txbx>
                        <w:txbxContent>
                          <w:p w14:paraId="15E597BD">
                            <w:pPr>
                              <w:jc w:val="center"/>
                              <w:rPr>
                                <w:rFonts w:hint="eastAsia" w:ascii="Times New Roman" w:hAnsi="Times New Roman" w:cs="Times New Roman" w:eastAsiaTheme="minorEastAsia"/>
                                <w:b/>
                                <w:bCs/>
                                <w:color w:val="FF0000"/>
                                <w:sz w:val="100"/>
                                <w:szCs w:val="100"/>
                                <w:lang w:val="en-US" w:eastAsia="zh-CN"/>
                              </w:rPr>
                            </w:pPr>
                            <w:r>
                              <w:rPr>
                                <w:rFonts w:ascii="Times New Roman" w:hAnsi="Times New Roman" w:cs="Times New Roman"/>
                                <w:b/>
                                <w:bCs/>
                                <w:color w:val="FF0000"/>
                                <w:sz w:val="100"/>
                                <w:szCs w:val="100"/>
                              </w:rPr>
                              <w:t>202</w:t>
                            </w:r>
                            <w:r>
                              <w:rPr>
                                <w:rFonts w:hint="eastAsia" w:ascii="Times New Roman" w:hAnsi="Times New Roman" w:cs="Times New Roman"/>
                                <w:b/>
                                <w:bCs/>
                                <w:color w:val="FF0000"/>
                                <w:sz w:val="100"/>
                                <w:szCs w:val="100"/>
                                <w:lang w:val="en-US" w:eastAsia="zh-CN"/>
                              </w:rPr>
                              <w:t>4</w:t>
                            </w:r>
                          </w:p>
                        </w:txbxContent>
                      </wps:txbx>
                      <wps:bodyPr rot="0" spcFirstLastPara="0" vertOverflow="overflow" horzOverflow="overflow" vert="horz" wrap="square" lIns="91440" tIns="45720" rIns="91440" bIns="45720" numCol="1" spcCol="0" rtlCol="0" fromWordArt="0" anchor="t" anchorCtr="0" forceAA="0" compatLnSpc="1">
                        <a:spAutoFit/>
                        <a:scene3d>
                          <a:camera prst="orthographicFront"/>
                          <a:lightRig rig="harsh" dir="t"/>
                        </a:scene3d>
                        <a:sp3d extrusionH="57150" prstMaterial="matte">
                          <a:bevelT w="63500" h="12700" prst="angle"/>
                          <a:contourClr>
                            <a:srgbClr val="A6A6A6">
                              <a:lumMod val="65000"/>
                            </a:srgbClr>
                          </a:contourClr>
                        </a:sp3d>
                      </wps:bodyPr>
                    </wps:wsp>
                  </a:graphicData>
                </a:graphic>
              </wp:anchor>
            </w:drawing>
          </mc:Choice>
          <mc:Fallback>
            <w:pict>
              <v:shape id="_x0000_s1026" o:spid="_x0000_s1026" o:spt="202" type="#_x0000_t202" style="position:absolute;left:0pt;margin-left:148.05pt;margin-top:5.45pt;height:144pt;width:117.85pt;z-index:251660288;mso-width-relative:page;mso-height-relative:page;" filled="f" stroked="f" coordsize="21600,21600" o:gfxdata="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AAAAAGRycy9QSwECFAAUAAAACACHTuJA&#10;o1H7PtUAAAAKAQAADwAAAAAAAAABACAAAAAiAAAAZHJzL2Rvd25yZXYueG1sUEsBAhQAFAAAAAgA&#10;h07iQEe1ysPTAgAAjgUAAA4AAAAAAAAAAQAgAAAAJAEAAGRycy9lMm9Eb2MueG1sUEsFBgAAAAAG&#10;AAYAWQEAAGkGAAAAAA==&#10;">
                <v:fill on="f" focussize="0,0"/>
                <v:stroke on="f" weight="0.5pt"/>
                <v:imagedata o:title=""/>
                <o:lock v:ext="edit" aspectratio="f"/>
                <v:textbox style="mso-fit-shape-to-text:t;">
                  <w:txbxContent>
                    <w:p w14:paraId="15E597BD">
                      <w:pPr>
                        <w:jc w:val="center"/>
                        <w:rPr>
                          <w:rFonts w:hint="eastAsia" w:ascii="Times New Roman" w:hAnsi="Times New Roman" w:cs="Times New Roman" w:eastAsiaTheme="minorEastAsia"/>
                          <w:b/>
                          <w:bCs/>
                          <w:color w:val="FF0000"/>
                          <w:sz w:val="100"/>
                          <w:szCs w:val="100"/>
                          <w:lang w:val="en-US" w:eastAsia="zh-CN"/>
                        </w:rPr>
                      </w:pPr>
                      <w:r>
                        <w:rPr>
                          <w:rFonts w:ascii="Times New Roman" w:hAnsi="Times New Roman" w:cs="Times New Roman"/>
                          <w:b/>
                          <w:bCs/>
                          <w:color w:val="FF0000"/>
                          <w:sz w:val="100"/>
                          <w:szCs w:val="100"/>
                        </w:rPr>
                        <w:t>202</w:t>
                      </w:r>
                      <w:r>
                        <w:rPr>
                          <w:rFonts w:hint="eastAsia" w:ascii="Times New Roman" w:hAnsi="Times New Roman" w:cs="Times New Roman"/>
                          <w:b/>
                          <w:bCs/>
                          <w:color w:val="FF0000"/>
                          <w:sz w:val="100"/>
                          <w:szCs w:val="100"/>
                          <w:lang w:val="en-US" w:eastAsia="zh-CN"/>
                        </w:rPr>
                        <w:t>4</w:t>
                      </w:r>
                    </w:p>
                  </w:txbxContent>
                </v:textbox>
              </v:shape>
            </w:pict>
          </mc:Fallback>
        </mc:AlternateContent>
      </w:r>
    </w:p>
    <w:p w14:paraId="7D6218AB"/>
    <w:p w14:paraId="20722EB2"/>
    <w:p w14:paraId="577670E1">
      <w:pPr>
        <w:jc w:val="center"/>
      </w:pPr>
    </w:p>
    <w:p w14:paraId="51FD0721">
      <w:pPr>
        <w:jc w:val="center"/>
        <w:rPr>
          <w:rFonts w:ascii="黑体" w:hAnsi="黑体" w:eastAsia="黑体" w:cs="黑体"/>
          <w:b/>
          <w:bCs/>
          <w:color w:val="FF0000"/>
          <w:sz w:val="32"/>
          <w:szCs w:val="32"/>
        </w:rPr>
      </w:pPr>
      <w:r>
        <w:rPr>
          <w:rFonts w:hint="eastAsia" w:ascii="黑体" w:hAnsi="黑体" w:eastAsia="黑体" w:cs="黑体"/>
          <w:b/>
          <w:bCs/>
          <w:color w:val="FF0000"/>
          <w:sz w:val="32"/>
          <w:szCs w:val="32"/>
        </w:rPr>
        <w:t>第</w:t>
      </w:r>
      <w:r>
        <w:rPr>
          <w:rFonts w:hint="eastAsia" w:ascii="黑体" w:hAnsi="黑体" w:eastAsia="黑体" w:cs="黑体"/>
          <w:b/>
          <w:bCs/>
          <w:color w:val="FF0000"/>
          <w:sz w:val="32"/>
          <w:szCs w:val="32"/>
          <w:lang w:val="en-US" w:eastAsia="zh-CN"/>
        </w:rPr>
        <w:t>3</w:t>
      </w:r>
      <w:r>
        <w:rPr>
          <w:rFonts w:hint="eastAsia" w:ascii="黑体" w:hAnsi="黑体" w:eastAsia="黑体" w:cs="黑体"/>
          <w:b/>
          <w:bCs/>
          <w:color w:val="FF0000"/>
          <w:sz w:val="32"/>
          <w:szCs w:val="32"/>
        </w:rPr>
        <w:t>期（总第</w:t>
      </w:r>
      <w:r>
        <w:rPr>
          <w:rFonts w:hint="eastAsia" w:ascii="黑体" w:hAnsi="黑体" w:eastAsia="黑体" w:cs="黑体"/>
          <w:b/>
          <w:bCs/>
          <w:color w:val="FF0000"/>
          <w:sz w:val="32"/>
          <w:szCs w:val="32"/>
          <w:lang w:val="en-US" w:eastAsia="zh-CN"/>
        </w:rPr>
        <w:t>22</w:t>
      </w:r>
      <w:r>
        <w:rPr>
          <w:rFonts w:hint="eastAsia" w:ascii="黑体" w:hAnsi="黑体" w:eastAsia="黑体" w:cs="黑体"/>
          <w:b/>
          <w:bCs/>
          <w:color w:val="FF0000"/>
          <w:sz w:val="32"/>
          <w:szCs w:val="32"/>
        </w:rPr>
        <w:t>期）</w:t>
      </w:r>
    </w:p>
    <w:p w14:paraId="4EC617F6">
      <w:pPr>
        <w:rPr>
          <w:rFonts w:ascii="黑体" w:hAnsi="黑体" w:eastAsia="黑体" w:cs="黑体"/>
          <w:b/>
          <w:bCs/>
          <w:color w:val="FF0000"/>
          <w:sz w:val="32"/>
          <w:szCs w:val="32"/>
        </w:rPr>
        <w:sectPr>
          <w:footerReference r:id="rId4" w:type="default"/>
          <w:headerReference r:id="rId3" w:type="even"/>
          <w:footerReference r:id="rId5" w:type="even"/>
          <w:pgSz w:w="11906" w:h="16838"/>
          <w:pgMar w:top="1440" w:right="1800" w:bottom="1440" w:left="1800" w:header="851" w:footer="992" w:gutter="0"/>
          <w:pgNumType w:fmt="decimal"/>
          <w:cols w:space="425" w:num="1"/>
          <w:docGrid w:type="lines" w:linePitch="312" w:charSpace="0"/>
        </w:sectPr>
      </w:pPr>
    </w:p>
    <w:p w14:paraId="4A1A5FE5">
      <w:pPr>
        <w:pStyle w:val="26"/>
        <w:spacing w:after="0" w:line="598" w:lineRule="exact"/>
        <w:ind w:firstLine="0"/>
        <w:jc w:val="center"/>
        <w:rPr>
          <w:b/>
          <w:bCs/>
          <w:color w:val="000000"/>
          <w:sz w:val="44"/>
          <w:szCs w:val="44"/>
          <w:lang w:eastAsia="zh-CN"/>
        </w:rPr>
      </w:pPr>
    </w:p>
    <w:p w14:paraId="53FDF3AF">
      <w:pPr>
        <w:pStyle w:val="26"/>
        <w:spacing w:after="0" w:line="598" w:lineRule="exact"/>
        <w:ind w:firstLine="0"/>
        <w:jc w:val="center"/>
        <w:rPr>
          <w:b/>
          <w:bCs/>
          <w:color w:val="000000"/>
          <w:sz w:val="44"/>
          <w:szCs w:val="44"/>
          <w:lang w:eastAsia="zh-CN"/>
        </w:rPr>
        <w:sectPr>
          <w:headerReference r:id="rId8" w:type="first"/>
          <w:headerReference r:id="rId6" w:type="default"/>
          <w:footerReference r:id="rId9" w:type="default"/>
          <w:headerReference r:id="rId7" w:type="even"/>
          <w:type w:val="continuous"/>
          <w:pgSz w:w="11906" w:h="16838"/>
          <w:pgMar w:top="1984" w:right="1531" w:bottom="1474" w:left="1531" w:header="1134" w:footer="850" w:gutter="0"/>
          <w:pgNumType w:fmt="decimal" w:start="1"/>
          <w:cols w:space="720" w:num="1"/>
          <w:titlePg/>
          <w:docGrid w:type="lines" w:linePitch="582" w:charSpace="0"/>
        </w:sectPr>
      </w:pPr>
    </w:p>
    <w:p w14:paraId="71C312A5">
      <w:pPr>
        <w:tabs>
          <w:tab w:val="left" w:pos="8820"/>
        </w:tabs>
        <w:jc w:val="center"/>
        <w:rPr>
          <w:rFonts w:ascii="Times New Roman" w:hAnsi="Times New Roman" w:eastAsia="方正小标宋简体"/>
          <w:color w:val="000000"/>
          <w:spacing w:val="11"/>
          <w:sz w:val="51"/>
          <w:szCs w:val="51"/>
        </w:rPr>
      </w:pPr>
    </w:p>
    <w:p w14:paraId="0BED6A59">
      <w:pPr>
        <w:tabs>
          <w:tab w:val="left" w:pos="8820"/>
        </w:tabs>
        <w:jc w:val="center"/>
        <w:rPr>
          <w:rFonts w:ascii="Times New Roman" w:hAnsi="Times New Roman" w:eastAsia="方正小标宋简体"/>
          <w:color w:val="000000"/>
          <w:spacing w:val="11"/>
          <w:sz w:val="51"/>
          <w:szCs w:val="51"/>
        </w:rPr>
      </w:pPr>
    </w:p>
    <w:p w14:paraId="2DC9EEFC">
      <w:pPr>
        <w:tabs>
          <w:tab w:val="left" w:pos="8820"/>
        </w:tabs>
        <w:jc w:val="center"/>
        <w:rPr>
          <w:rFonts w:ascii="Times New Roman" w:hAnsi="Times New Roman" w:eastAsia="方正小标宋简体"/>
          <w:color w:val="000000"/>
          <w:spacing w:val="11"/>
          <w:sz w:val="51"/>
          <w:szCs w:val="51"/>
        </w:rPr>
      </w:pPr>
    </w:p>
    <w:p w14:paraId="3F55E3D3">
      <w:pPr>
        <w:tabs>
          <w:tab w:val="left" w:pos="8820"/>
        </w:tabs>
        <w:jc w:val="center"/>
        <w:rPr>
          <w:rFonts w:ascii="Times New Roman" w:hAnsi="Times New Roman" w:eastAsia="方正小标宋简体"/>
          <w:color w:val="000000"/>
          <w:spacing w:val="11"/>
          <w:sz w:val="51"/>
          <w:szCs w:val="51"/>
        </w:rPr>
      </w:pPr>
    </w:p>
    <w:p w14:paraId="3AC551AA">
      <w:pPr>
        <w:tabs>
          <w:tab w:val="left" w:pos="8820"/>
        </w:tabs>
        <w:jc w:val="center"/>
        <w:rPr>
          <w:rFonts w:ascii="Times New Roman" w:hAnsi="Times New Roman" w:eastAsia="方正小标宋简体"/>
          <w:color w:val="000000"/>
          <w:spacing w:val="11"/>
          <w:sz w:val="51"/>
          <w:szCs w:val="51"/>
        </w:rPr>
      </w:pPr>
    </w:p>
    <w:p w14:paraId="21819A37">
      <w:pPr>
        <w:tabs>
          <w:tab w:val="left" w:pos="8820"/>
        </w:tabs>
        <w:jc w:val="center"/>
        <w:rPr>
          <w:rFonts w:ascii="Times New Roman" w:hAnsi="Times New Roman" w:eastAsia="方正小标宋简体"/>
          <w:color w:val="000000"/>
          <w:spacing w:val="11"/>
          <w:sz w:val="51"/>
          <w:szCs w:val="51"/>
        </w:rPr>
      </w:pPr>
    </w:p>
    <w:p w14:paraId="16732495">
      <w:pPr>
        <w:tabs>
          <w:tab w:val="left" w:pos="8820"/>
        </w:tabs>
        <w:jc w:val="center"/>
        <w:rPr>
          <w:rFonts w:ascii="Times New Roman" w:hAnsi="Times New Roman" w:eastAsia="方正小标宋简体"/>
          <w:color w:val="000000"/>
          <w:spacing w:val="11"/>
          <w:sz w:val="51"/>
          <w:szCs w:val="51"/>
        </w:rPr>
      </w:pPr>
    </w:p>
    <w:p w14:paraId="01E781F9">
      <w:pPr>
        <w:tabs>
          <w:tab w:val="left" w:pos="8820"/>
        </w:tabs>
        <w:jc w:val="center"/>
        <w:rPr>
          <w:rFonts w:ascii="Times New Roman" w:hAnsi="Times New Roman" w:eastAsia="方正小标宋简体"/>
          <w:color w:val="000000"/>
          <w:spacing w:val="11"/>
          <w:sz w:val="51"/>
          <w:szCs w:val="51"/>
        </w:rPr>
      </w:pPr>
    </w:p>
    <w:p w14:paraId="6217D3E1">
      <w:pPr>
        <w:tabs>
          <w:tab w:val="left" w:pos="8820"/>
        </w:tabs>
        <w:jc w:val="center"/>
        <w:rPr>
          <w:rFonts w:ascii="Times New Roman" w:hAnsi="Times New Roman" w:eastAsia="方正小标宋简体"/>
          <w:color w:val="000000"/>
          <w:spacing w:val="11"/>
          <w:sz w:val="51"/>
          <w:szCs w:val="51"/>
        </w:rPr>
      </w:pPr>
    </w:p>
    <w:p w14:paraId="35C968A7">
      <w:pPr>
        <w:tabs>
          <w:tab w:val="left" w:pos="8820"/>
        </w:tabs>
        <w:jc w:val="center"/>
        <w:rPr>
          <w:rFonts w:ascii="Times New Roman" w:hAnsi="Times New Roman" w:eastAsia="方正小标宋简体"/>
          <w:color w:val="000000"/>
          <w:spacing w:val="11"/>
          <w:sz w:val="51"/>
          <w:szCs w:val="51"/>
        </w:rPr>
      </w:pPr>
    </w:p>
    <w:p w14:paraId="7DC14926">
      <w:pPr>
        <w:tabs>
          <w:tab w:val="left" w:pos="8820"/>
        </w:tabs>
        <w:jc w:val="center"/>
        <w:rPr>
          <w:rFonts w:ascii="Times New Roman" w:hAnsi="Times New Roman" w:eastAsia="方正小标宋简体"/>
          <w:color w:val="000000"/>
          <w:spacing w:val="11"/>
          <w:sz w:val="51"/>
          <w:szCs w:val="51"/>
        </w:rPr>
      </w:pPr>
    </w:p>
    <w:p w14:paraId="0E2048AA">
      <w:pPr>
        <w:tabs>
          <w:tab w:val="left" w:pos="8820"/>
        </w:tabs>
        <w:jc w:val="center"/>
        <w:rPr>
          <w:rFonts w:ascii="Times New Roman" w:hAnsi="Times New Roman" w:eastAsia="方正小标宋简体"/>
          <w:color w:val="000000"/>
          <w:spacing w:val="11"/>
          <w:sz w:val="51"/>
          <w:szCs w:val="51"/>
        </w:rPr>
      </w:pPr>
    </w:p>
    <w:p w14:paraId="106427C8">
      <w:pPr>
        <w:tabs>
          <w:tab w:val="left" w:pos="8820"/>
        </w:tabs>
        <w:jc w:val="center"/>
        <w:rPr>
          <w:rFonts w:ascii="Times New Roman" w:hAnsi="Times New Roman" w:eastAsia="方正小标宋简体"/>
          <w:color w:val="000000"/>
          <w:spacing w:val="11"/>
          <w:sz w:val="51"/>
          <w:szCs w:val="51"/>
        </w:rPr>
      </w:pPr>
    </w:p>
    <w:p w14:paraId="4B433017">
      <w:pPr>
        <w:tabs>
          <w:tab w:val="left" w:pos="8820"/>
        </w:tabs>
        <w:jc w:val="center"/>
        <w:rPr>
          <w:rFonts w:ascii="Times New Roman" w:hAnsi="Times New Roman" w:eastAsia="方正小标宋简体"/>
          <w:color w:val="000000"/>
          <w:spacing w:val="11"/>
          <w:sz w:val="51"/>
          <w:szCs w:val="51"/>
        </w:rPr>
      </w:pPr>
    </w:p>
    <w:p w14:paraId="31F4D36D">
      <w:pPr>
        <w:tabs>
          <w:tab w:val="left" w:pos="8820"/>
        </w:tabs>
        <w:jc w:val="center"/>
        <w:rPr>
          <w:rFonts w:ascii="Times New Roman" w:hAnsi="Times New Roman" w:eastAsia="方正小标宋简体"/>
          <w:color w:val="000000"/>
          <w:spacing w:val="11"/>
          <w:sz w:val="51"/>
          <w:szCs w:val="51"/>
        </w:rPr>
      </w:pPr>
    </w:p>
    <w:p w14:paraId="4D7B110C">
      <w:pPr>
        <w:tabs>
          <w:tab w:val="left" w:pos="8820"/>
        </w:tabs>
        <w:jc w:val="center"/>
        <w:rPr>
          <w:rFonts w:ascii="Times New Roman" w:hAnsi="Times New Roman" w:eastAsia="方正小标宋简体"/>
          <w:color w:val="000000"/>
          <w:spacing w:val="11"/>
          <w:sz w:val="51"/>
          <w:szCs w:val="51"/>
        </w:rPr>
      </w:pPr>
    </w:p>
    <w:p w14:paraId="20FAEBAA">
      <w:pPr>
        <w:tabs>
          <w:tab w:val="left" w:pos="8820"/>
        </w:tabs>
        <w:jc w:val="center"/>
        <w:rPr>
          <w:rFonts w:ascii="Times New Roman" w:hAnsi="Times New Roman" w:eastAsia="方正小标宋简体"/>
          <w:color w:val="000000"/>
          <w:spacing w:val="11"/>
          <w:sz w:val="51"/>
          <w:szCs w:val="51"/>
        </w:rPr>
      </w:pPr>
    </w:p>
    <w:p w14:paraId="7D82EA8D">
      <w:pPr>
        <w:tabs>
          <w:tab w:val="left" w:pos="8820"/>
        </w:tabs>
        <w:jc w:val="center"/>
        <w:rPr>
          <w:rFonts w:ascii="Times New Roman" w:hAnsi="Times New Roman" w:eastAsia="方正小标宋简体"/>
          <w:color w:val="000000"/>
          <w:spacing w:val="11"/>
          <w:sz w:val="51"/>
          <w:szCs w:val="51"/>
        </w:rPr>
      </w:pPr>
    </w:p>
    <w:p w14:paraId="5F7BC530">
      <w:pPr>
        <w:tabs>
          <w:tab w:val="left" w:pos="8820"/>
        </w:tabs>
        <w:jc w:val="center"/>
        <w:rPr>
          <w:rFonts w:ascii="Times New Roman" w:hAnsi="Times New Roman" w:eastAsia="方正小标宋简体"/>
          <w:color w:val="000000"/>
          <w:spacing w:val="11"/>
          <w:sz w:val="51"/>
          <w:szCs w:val="51"/>
        </w:rPr>
      </w:pPr>
    </w:p>
    <w:p w14:paraId="499C68DE">
      <w:pPr>
        <w:tabs>
          <w:tab w:val="left" w:pos="8820"/>
        </w:tabs>
        <w:jc w:val="center"/>
        <w:rPr>
          <w:rFonts w:ascii="Times New Roman" w:hAnsi="Times New Roman" w:eastAsia="方正小标宋简体"/>
          <w:color w:val="000000"/>
          <w:spacing w:val="11"/>
          <w:sz w:val="51"/>
          <w:szCs w:val="51"/>
        </w:rPr>
      </w:pPr>
    </w:p>
    <w:p w14:paraId="62D66B47">
      <w:pPr>
        <w:tabs>
          <w:tab w:val="left" w:pos="8820"/>
        </w:tabs>
        <w:jc w:val="center"/>
        <w:rPr>
          <w:rFonts w:ascii="Times New Roman" w:hAnsi="Times New Roman" w:eastAsia="方正小标宋简体"/>
          <w:color w:val="000000"/>
          <w:spacing w:val="11"/>
          <w:sz w:val="51"/>
          <w:szCs w:val="51"/>
        </w:rPr>
      </w:pPr>
    </w:p>
    <w:p w14:paraId="3D1D6F58">
      <w:pPr>
        <w:tabs>
          <w:tab w:val="left" w:pos="8820"/>
        </w:tabs>
        <w:jc w:val="center"/>
        <w:rPr>
          <w:rFonts w:ascii="Times New Roman" w:hAnsi="Times New Roman" w:eastAsia="方正小标宋简体"/>
          <w:color w:val="000000"/>
          <w:spacing w:val="11"/>
          <w:sz w:val="51"/>
          <w:szCs w:val="51"/>
        </w:rPr>
      </w:pPr>
    </w:p>
    <w:p w14:paraId="0AED4009">
      <w:pPr>
        <w:tabs>
          <w:tab w:val="left" w:pos="8820"/>
        </w:tabs>
        <w:jc w:val="center"/>
        <w:rPr>
          <w:rFonts w:ascii="Times New Roman" w:hAnsi="Times New Roman" w:eastAsia="方正小标宋简体"/>
          <w:color w:val="000000"/>
          <w:spacing w:val="11"/>
          <w:sz w:val="51"/>
          <w:szCs w:val="51"/>
        </w:rPr>
      </w:pPr>
      <w:r>
        <w:rPr>
          <w:rFonts w:ascii="Times New Roman" w:hAnsi="Times New Roman" w:eastAsia="方正小标宋简体"/>
          <w:color w:val="000000"/>
          <w:spacing w:val="11"/>
          <w:sz w:val="51"/>
          <w:szCs w:val="51"/>
        </w:rPr>
        <w:t xml:space="preserve">        </w:t>
      </w:r>
    </w:p>
    <w:p w14:paraId="775CA5E5">
      <w:pPr>
        <w:tabs>
          <w:tab w:val="left" w:pos="8820"/>
        </w:tabs>
        <w:jc w:val="center"/>
        <w:rPr>
          <w:rFonts w:ascii="Times New Roman" w:hAnsi="Times New Roman" w:eastAsia="方正黑体_GBK"/>
          <w:color w:val="000000"/>
          <w:sz w:val="52"/>
          <w:szCs w:val="52"/>
        </w:rPr>
      </w:pPr>
      <w:r>
        <w:rPr>
          <w:rFonts w:hint="eastAsia" w:ascii="Times New Roman" w:hAnsi="Times New Roman" w:eastAsia="方正小标宋简体"/>
          <w:color w:val="000000"/>
          <w:spacing w:val="11"/>
          <w:sz w:val="51"/>
          <w:szCs w:val="51"/>
          <w:lang w:val="en-US" w:eastAsia="zh-CN"/>
        </w:rPr>
        <w:t xml:space="preserve">     </w:t>
      </w:r>
      <w:r>
        <w:rPr>
          <w:rFonts w:hint="eastAsia" w:ascii="Times New Roman" w:hAnsi="Times New Roman" w:eastAsia="方正小标宋简体"/>
          <w:color w:val="000000"/>
          <w:spacing w:val="11"/>
          <w:sz w:val="51"/>
          <w:szCs w:val="51"/>
        </w:rPr>
        <w:t>昌江区</w:t>
      </w:r>
      <w:r>
        <w:rPr>
          <w:rFonts w:ascii="Times New Roman" w:hAnsi="Times New Roman" w:eastAsia="方正小标宋简体"/>
          <w:color w:val="000000"/>
          <w:spacing w:val="11"/>
          <w:sz w:val="51"/>
          <w:szCs w:val="51"/>
        </w:rPr>
        <w:t>人民政府主管主办</w:t>
      </w:r>
    </w:p>
    <w:tbl>
      <w:tblPr>
        <w:tblStyle w:val="19"/>
        <w:tblW w:w="0" w:type="auto"/>
        <w:tblInd w:w="2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4959"/>
      </w:tblGrid>
      <w:tr w14:paraId="7A716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exact"/>
        </w:trPr>
        <w:tc>
          <w:tcPr>
            <w:tcW w:w="6516" w:type="dxa"/>
            <w:gridSpan w:val="2"/>
            <w:vAlign w:val="center"/>
          </w:tcPr>
          <w:p w14:paraId="77D0E2A0">
            <w:pPr>
              <w:spacing w:line="700" w:lineRule="exact"/>
              <w:jc w:val="center"/>
              <w:rPr>
                <w:rFonts w:ascii="Times New Roman" w:hAnsi="Times New Roman" w:eastAsia="微软雅黑"/>
                <w:color w:val="000000"/>
                <w:szCs w:val="21"/>
              </w:rPr>
            </w:pPr>
            <w:r>
              <w:rPr>
                <w:rFonts w:ascii="Times New Roman" w:hAnsi="Times New Roman" w:eastAsia="方正黑体_GBK"/>
                <w:b/>
                <w:bCs/>
                <w:color w:val="000000"/>
                <w:sz w:val="24"/>
              </w:rPr>
              <mc:AlternateContent>
                <mc:Choice Requires="wps">
                  <w:drawing>
                    <wp:anchor distT="0" distB="0" distL="114300" distR="114300" simplePos="0" relativeHeight="251664384" behindDoc="0" locked="0" layoutInCell="1" allowOverlap="1">
                      <wp:simplePos x="0" y="0"/>
                      <wp:positionH relativeFrom="column">
                        <wp:posOffset>-772795</wp:posOffset>
                      </wp:positionH>
                      <wp:positionV relativeFrom="paragraph">
                        <wp:posOffset>181610</wp:posOffset>
                      </wp:positionV>
                      <wp:extent cx="533400" cy="4619625"/>
                      <wp:effectExtent l="4445" t="4445" r="14605" b="5080"/>
                      <wp:wrapNone/>
                      <wp:docPr id="10" name="文本框 10"/>
                      <wp:cNvGraphicFramePr/>
                      <a:graphic xmlns:a="http://schemas.openxmlformats.org/drawingml/2006/main">
                        <a:graphicData uri="http://schemas.microsoft.com/office/word/2010/wordprocessingShape">
                          <wps:wsp>
                            <wps:cNvSpPr txBox="1"/>
                            <wps:spPr>
                              <a:xfrm>
                                <a:off x="1751330" y="2602230"/>
                                <a:ext cx="533400" cy="3686175"/>
                              </a:xfrm>
                              <a:prstGeom prst="rect">
                                <a:avLst/>
                              </a:prstGeom>
                              <a:solidFill>
                                <a:srgbClr val="FFFFFF"/>
                              </a:solidFill>
                              <a:ln w="6350">
                                <a:solidFill>
                                  <a:srgbClr val="FFFFFF"/>
                                </a:solidFill>
                              </a:ln>
                              <a:effectLst/>
                            </wps:spPr>
                            <wps:txbx>
                              <w:txbxContent>
                                <w:p w14:paraId="0DF6C8AC">
                                  <w:pPr>
                                    <w:ind w:firstLine="600" w:firstLineChars="200"/>
                                    <w:rPr>
                                      <w:rFonts w:ascii="黑体" w:hAnsi="黑体" w:eastAsia="黑体" w:cs="黑体"/>
                                      <w:sz w:val="30"/>
                                      <w:szCs w:val="30"/>
                                    </w:rPr>
                                  </w:pPr>
                                  <w:r>
                                    <w:rPr>
                                      <w:rFonts w:hint="eastAsia" w:ascii="黑体" w:hAnsi="黑体" w:eastAsia="黑体" w:cs="黑体"/>
                                      <w:sz w:val="30"/>
                                      <w:szCs w:val="30"/>
                                    </w:rPr>
                                    <w:t>● 本刊所登文件与正式文件具有同等效力</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85pt;margin-top:14.3pt;height:363.75pt;width:42pt;z-index:251664384;mso-width-relative:page;mso-height-relative:page;" fillcolor="#FFFFFF" filled="t" stroked="t" coordsize="21600,21600" o:gfxdata="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YFmbXAAAACwEAAA8AAAAAAAAAAQAgAAAAIgAAAGRycy9kb3ducmV2LnhtbFBLAQIUABQA&#10;AAAIAIdO4kCCQ8VJYwIAANYEAAAOAAAAAAAAAAEAIAAAACYBAABkcnMvZTJvRG9jLnhtbFBLBQYA&#10;AAAABgAGAFkBAAD7BQAAAAA=&#10;">
                      <v:fill on="t" focussize="0,0"/>
                      <v:stroke weight="0.5pt" color="#FFFFFF" joinstyle="round"/>
                      <v:imagedata o:title=""/>
                      <o:lock v:ext="edit" aspectratio="f"/>
                      <v:textbox style="layout-flow:vertical-ideographic;">
                        <w:txbxContent>
                          <w:p w14:paraId="0DF6C8AC">
                            <w:pPr>
                              <w:ind w:firstLine="600" w:firstLineChars="200"/>
                              <w:rPr>
                                <w:rFonts w:ascii="黑体" w:hAnsi="黑体" w:eastAsia="黑体" w:cs="黑体"/>
                                <w:sz w:val="30"/>
                                <w:szCs w:val="30"/>
                              </w:rPr>
                            </w:pPr>
                            <w:r>
                              <w:rPr>
                                <w:rFonts w:hint="eastAsia" w:ascii="黑体" w:hAnsi="黑体" w:eastAsia="黑体" w:cs="黑体"/>
                                <w:sz w:val="30"/>
                                <w:szCs w:val="30"/>
                              </w:rPr>
                              <w:t>● 本刊所登文件与正式文件具有同等效力</w:t>
                            </w:r>
                          </w:p>
                        </w:txbxContent>
                      </v:textbox>
                    </v:shape>
                  </w:pict>
                </mc:Fallback>
              </mc:AlternateContent>
            </w:r>
            <w:r>
              <w:rPr>
                <w:rFonts w:ascii="Times New Roman" w:hAnsi="Times New Roman" w:eastAsia="方正小标宋简体"/>
                <w:color w:val="000000"/>
              </w:rPr>
              <mc:AlternateContent>
                <mc:Choice Requires="wps">
                  <w:drawing>
                    <wp:anchor distT="0" distB="0" distL="114300" distR="114300" simplePos="0" relativeHeight="251661312" behindDoc="0" locked="0" layoutInCell="1" allowOverlap="1">
                      <wp:simplePos x="0" y="0"/>
                      <wp:positionH relativeFrom="column">
                        <wp:posOffset>-1692910</wp:posOffset>
                      </wp:positionH>
                      <wp:positionV relativeFrom="paragraph">
                        <wp:posOffset>-6350</wp:posOffset>
                      </wp:positionV>
                      <wp:extent cx="1060450" cy="551053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060450" cy="5510530"/>
                              </a:xfrm>
                              <a:prstGeom prst="rect">
                                <a:avLst/>
                              </a:prstGeom>
                              <a:noFill/>
                              <a:ln w="6350">
                                <a:noFill/>
                              </a:ln>
                              <a:effectLst/>
                            </wps:spPr>
                            <wps:txbx>
                              <w:txbxContent>
                                <w:p w14:paraId="2ED167CE">
                                  <w:pPr>
                                    <w:rPr>
                                      <w:rFonts w:ascii="方正小标宋简体" w:hAnsi="方正小标宋简体" w:eastAsia="方正小标宋简体" w:cs="方正小标宋简体"/>
                                      <w:bCs/>
                                      <w:color w:val="000000"/>
                                      <w:sz w:val="80"/>
                                      <w:szCs w:val="80"/>
                                    </w:rPr>
                                  </w:pPr>
                                  <w:r>
                                    <w:rPr>
                                      <w:rFonts w:hint="eastAsia" w:ascii="方正小标宋简体" w:hAnsi="方正小标宋简体" w:eastAsia="方正小标宋简体" w:cs="方正小标宋简体"/>
                                      <w:bCs/>
                                      <w:color w:val="000000"/>
                                      <w:sz w:val="82"/>
                                      <w:szCs w:val="82"/>
                                    </w:rPr>
                                    <w:t>昌江区人民政府公报</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3.3pt;margin-top:-0.5pt;height:433.9pt;width:83.5pt;z-index:251661312;mso-width-relative:page;mso-height-relative:page;" filled="f" stroked="f" coordsize="21600,21600" o:gfxdata="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WNNV7aAAAACwEAAA8AAAAAAAAAAQAg&#10;AAAAIgAAAGRycy9kb3ducmV2LnhtbFBLAQIUABQAAAAIAIdO4kA/P1nkRQIAAHcEAAAOAAAAAAAA&#10;AAEAIAAAACkBAABkcnMvZTJvRG9jLnhtbFBLBQYAAAAABgAGAFkBAADgBQAAAAA=&#10;">
                      <v:fill on="f" focussize="0,0"/>
                      <v:stroke on="f" weight="0.5pt"/>
                      <v:imagedata o:title=""/>
                      <o:lock v:ext="edit" aspectratio="f"/>
                      <v:textbox style="layout-flow:vertical-ideographic;">
                        <w:txbxContent>
                          <w:p w14:paraId="2ED167CE">
                            <w:pPr>
                              <w:rPr>
                                <w:rFonts w:ascii="方正小标宋简体" w:hAnsi="方正小标宋简体" w:eastAsia="方正小标宋简体" w:cs="方正小标宋简体"/>
                                <w:bCs/>
                                <w:color w:val="000000"/>
                                <w:sz w:val="80"/>
                                <w:szCs w:val="80"/>
                              </w:rPr>
                            </w:pPr>
                            <w:r>
                              <w:rPr>
                                <w:rFonts w:hint="eastAsia" w:ascii="方正小标宋简体" w:hAnsi="方正小标宋简体" w:eastAsia="方正小标宋简体" w:cs="方正小标宋简体"/>
                                <w:bCs/>
                                <w:color w:val="000000"/>
                                <w:sz w:val="82"/>
                                <w:szCs w:val="82"/>
                              </w:rPr>
                              <w:t>昌江区人民政府公报</w:t>
                            </w:r>
                          </w:p>
                        </w:txbxContent>
                      </v:textbox>
                    </v:shape>
                  </w:pict>
                </mc:Fallback>
              </mc:AlternateContent>
            </w:r>
            <w:r>
              <w:rPr>
                <w:rFonts w:ascii="Times New Roman" w:hAnsi="Times New Roman" w:eastAsia="方正小标宋简体"/>
                <w:color w:val="000000"/>
                <w:sz w:val="44"/>
                <w:szCs w:val="44"/>
              </w:rPr>
              <w:t>目      录</w:t>
            </w:r>
          </w:p>
        </w:tc>
      </w:tr>
      <w:tr w14:paraId="35A78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0" w:hRule="atLeast"/>
        </w:trPr>
        <w:tc>
          <w:tcPr>
            <w:tcW w:w="1557" w:type="dxa"/>
            <w:vAlign w:val="center"/>
          </w:tcPr>
          <w:p w14:paraId="3677207F">
            <w:pPr>
              <w:spacing w:line="440" w:lineRule="exact"/>
              <w:jc w:val="center"/>
              <w:rPr>
                <w:rFonts w:hint="eastAsia" w:ascii="黑体" w:hAnsi="黑体" w:eastAsia="黑体" w:cs="黑体"/>
                <w:color w:val="000000"/>
                <w:spacing w:val="-11"/>
                <w:sz w:val="24"/>
              </w:rPr>
            </w:pPr>
          </w:p>
          <w:p w14:paraId="191DD76A">
            <w:pPr>
              <w:spacing w:line="440" w:lineRule="exact"/>
              <w:jc w:val="center"/>
              <w:rPr>
                <w:rFonts w:hint="eastAsia" w:ascii="黑体" w:hAnsi="黑体" w:eastAsia="黑体" w:cs="黑体"/>
                <w:color w:val="000000"/>
                <w:spacing w:val="-11"/>
                <w:sz w:val="24"/>
              </w:rPr>
            </w:pPr>
          </w:p>
          <w:p w14:paraId="7CDCA8B9">
            <w:pPr>
              <w:spacing w:line="440" w:lineRule="exact"/>
              <w:jc w:val="center"/>
              <w:rPr>
                <w:rFonts w:hint="eastAsia" w:ascii="黑体" w:hAnsi="黑体" w:eastAsia="黑体" w:cs="黑体"/>
                <w:color w:val="000000"/>
                <w:spacing w:val="-11"/>
                <w:sz w:val="24"/>
              </w:rPr>
            </w:pPr>
          </w:p>
          <w:p w14:paraId="1A947170">
            <w:pPr>
              <w:spacing w:line="440" w:lineRule="exact"/>
              <w:jc w:val="center"/>
              <w:rPr>
                <w:rFonts w:hint="eastAsia" w:ascii="黑体" w:hAnsi="黑体" w:eastAsia="黑体" w:cs="黑体"/>
                <w:color w:val="000000"/>
                <w:spacing w:val="-11"/>
                <w:sz w:val="24"/>
              </w:rPr>
            </w:pPr>
          </w:p>
          <w:p w14:paraId="6F88A9CA">
            <w:pPr>
              <w:spacing w:line="440" w:lineRule="exact"/>
              <w:jc w:val="center"/>
              <w:rPr>
                <w:rFonts w:hint="eastAsia" w:ascii="黑体" w:hAnsi="黑体" w:eastAsia="黑体" w:cs="黑体"/>
                <w:color w:val="000000"/>
                <w:spacing w:val="-11"/>
                <w:sz w:val="24"/>
              </w:rPr>
            </w:pPr>
          </w:p>
          <w:p w14:paraId="04A858B4">
            <w:pPr>
              <w:spacing w:line="440" w:lineRule="exact"/>
              <w:jc w:val="center"/>
              <w:rPr>
                <w:rFonts w:hint="eastAsia" w:ascii="黑体" w:hAnsi="黑体" w:eastAsia="黑体" w:cs="黑体"/>
                <w:color w:val="000000"/>
                <w:spacing w:val="-11"/>
                <w:sz w:val="24"/>
              </w:rPr>
            </w:pPr>
          </w:p>
          <w:p w14:paraId="54A4E089">
            <w:pPr>
              <w:spacing w:line="440" w:lineRule="exact"/>
              <w:jc w:val="center"/>
              <w:rPr>
                <w:rFonts w:hint="eastAsia" w:ascii="黑体" w:hAnsi="黑体" w:eastAsia="黑体" w:cs="黑体"/>
                <w:color w:val="000000"/>
                <w:spacing w:val="-11"/>
                <w:sz w:val="24"/>
              </w:rPr>
            </w:pPr>
          </w:p>
          <w:p w14:paraId="2DAE25ED">
            <w:pPr>
              <w:spacing w:line="440" w:lineRule="exact"/>
              <w:jc w:val="center"/>
              <w:rPr>
                <w:rFonts w:hint="eastAsia" w:ascii="黑体" w:hAnsi="黑体" w:eastAsia="黑体" w:cs="黑体"/>
                <w:color w:val="000000"/>
                <w:spacing w:val="-11"/>
                <w:sz w:val="24"/>
              </w:rPr>
            </w:pPr>
          </w:p>
          <w:p w14:paraId="2BBF792C">
            <w:pPr>
              <w:spacing w:line="440" w:lineRule="exact"/>
              <w:jc w:val="center"/>
              <w:rPr>
                <w:rFonts w:hint="eastAsia" w:ascii="黑体" w:hAnsi="黑体" w:eastAsia="黑体" w:cs="黑体"/>
                <w:color w:val="000000"/>
                <w:spacing w:val="-11"/>
                <w:sz w:val="24"/>
              </w:rPr>
            </w:pPr>
          </w:p>
          <w:p w14:paraId="410AACDD">
            <w:pPr>
              <w:spacing w:line="440" w:lineRule="exact"/>
              <w:jc w:val="center"/>
              <w:rPr>
                <w:rFonts w:hint="eastAsia" w:ascii="黑体" w:hAnsi="黑体" w:eastAsia="黑体" w:cs="黑体"/>
                <w:color w:val="000000"/>
                <w:spacing w:val="-11"/>
                <w:sz w:val="24"/>
              </w:rPr>
            </w:pPr>
          </w:p>
          <w:p w14:paraId="0769FC8A">
            <w:pPr>
              <w:spacing w:line="440" w:lineRule="exact"/>
              <w:jc w:val="center"/>
              <w:rPr>
                <w:rFonts w:hint="eastAsia" w:ascii="黑体" w:hAnsi="黑体" w:eastAsia="黑体" w:cs="黑体"/>
                <w:color w:val="000000"/>
                <w:spacing w:val="-11"/>
                <w:sz w:val="24"/>
              </w:rPr>
            </w:pPr>
          </w:p>
          <w:p w14:paraId="36D699AA">
            <w:pPr>
              <w:spacing w:line="440" w:lineRule="exact"/>
              <w:jc w:val="center"/>
              <w:rPr>
                <w:rFonts w:ascii="黑体" w:hAnsi="黑体" w:eastAsia="黑体" w:cs="黑体"/>
                <w:color w:val="000000"/>
                <w:spacing w:val="-11"/>
                <w:sz w:val="24"/>
              </w:rPr>
            </w:pPr>
            <w:r>
              <w:rPr>
                <w:rFonts w:hint="eastAsia" w:ascii="黑体" w:hAnsi="黑体" w:eastAsia="黑体" w:cs="黑体"/>
                <w:color w:val="000000"/>
                <w:spacing w:val="-11"/>
                <w:sz w:val="24"/>
              </w:rPr>
              <w:t>区人民政府</w:t>
            </w:r>
          </w:p>
          <w:p w14:paraId="2B47D972">
            <w:pPr>
              <w:spacing w:line="440" w:lineRule="exact"/>
              <w:jc w:val="center"/>
              <w:rPr>
                <w:rFonts w:ascii="Times New Roman" w:hAnsi="Times New Roman" w:eastAsia="方正黑体_GBK"/>
                <w:b/>
                <w:bCs/>
                <w:color w:val="000000"/>
                <w:sz w:val="24"/>
              </w:rPr>
            </w:pPr>
            <w:r>
              <w:rPr>
                <w:rFonts w:ascii="黑体" w:hAnsi="黑体" w:eastAsia="黑体" w:cs="黑体"/>
                <w:color w:val="000000"/>
                <w:sz w:val="44"/>
                <w:szCs w:val="44"/>
              </w:rPr>
              <mc:AlternateContent>
                <mc:Choice Requires="wps">
                  <w:drawing>
                    <wp:anchor distT="0" distB="0" distL="114300" distR="114300" simplePos="0" relativeHeight="251674624" behindDoc="0" locked="0" layoutInCell="1" allowOverlap="1">
                      <wp:simplePos x="0" y="0"/>
                      <wp:positionH relativeFrom="column">
                        <wp:posOffset>-1927225</wp:posOffset>
                      </wp:positionH>
                      <wp:positionV relativeFrom="paragraph">
                        <wp:posOffset>2376170</wp:posOffset>
                      </wp:positionV>
                      <wp:extent cx="1676400" cy="1151255"/>
                      <wp:effectExtent l="4445" t="4445" r="14605" b="6350"/>
                      <wp:wrapNone/>
                      <wp:docPr id="1" name="文本框 13"/>
                      <wp:cNvGraphicFramePr/>
                      <a:graphic xmlns:a="http://schemas.openxmlformats.org/drawingml/2006/main">
                        <a:graphicData uri="http://schemas.microsoft.com/office/word/2010/wordprocessingShape">
                          <wps:wsp>
                            <wps:cNvSpPr txBox="1"/>
                            <wps:spPr>
                              <a:xfrm>
                                <a:off x="2958465" y="8415655"/>
                                <a:ext cx="1676400" cy="1151255"/>
                              </a:xfrm>
                              <a:prstGeom prst="rect">
                                <a:avLst/>
                              </a:prstGeom>
                              <a:solidFill>
                                <a:srgbClr val="FFFFFF"/>
                              </a:solidFill>
                              <a:ln w="6350">
                                <a:solidFill>
                                  <a:srgbClr val="FFFFFF"/>
                                </a:solidFill>
                              </a:ln>
                              <a:effectLst/>
                            </wps:spPr>
                            <wps:txbx>
                              <w:txbxContent>
                                <w:p w14:paraId="412DACF6">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4</w:t>
                                  </w:r>
                                  <w:r>
                                    <w:rPr>
                                      <w:rFonts w:ascii="Times New Roman" w:hAnsi="Times New Roman" w:eastAsia="方正黑体_GBK"/>
                                      <w:szCs w:val="21"/>
                                    </w:rPr>
                                    <w:t>年</w:t>
                                  </w:r>
                                  <w:r>
                                    <w:rPr>
                                      <w:rFonts w:hint="eastAsia" w:ascii="Times New Roman" w:hAnsi="Times New Roman" w:eastAsia="方正黑体_GBK"/>
                                      <w:szCs w:val="21"/>
                                      <w:lang w:val="en-US" w:eastAsia="zh-CN"/>
                                    </w:rPr>
                                    <w:t>6</w:t>
                                  </w:r>
                                  <w:r>
                                    <w:rPr>
                                      <w:rFonts w:hint="eastAsia" w:ascii="Times New Roman" w:hAnsi="Times New Roman" w:eastAsia="方正黑体_GBK"/>
                                      <w:szCs w:val="21"/>
                                    </w:rPr>
                                    <w:t>月</w:t>
                                  </w:r>
                                  <w:r>
                                    <w:rPr>
                                      <w:rFonts w:hint="eastAsia" w:ascii="Times New Roman" w:hAnsi="Times New Roman" w:eastAsia="方正黑体_GBK"/>
                                      <w:szCs w:val="21"/>
                                      <w:lang w:val="en-US" w:eastAsia="zh-CN"/>
                                    </w:rPr>
                                    <w:t>30</w:t>
                                  </w:r>
                                  <w:r>
                                    <w:rPr>
                                      <w:rFonts w:hint="eastAsia" w:ascii="Times New Roman" w:hAnsi="Times New Roman" w:eastAsia="方正黑体_GBK"/>
                                      <w:szCs w:val="21"/>
                                    </w:rPr>
                                    <w:t>日出版</w:t>
                                  </w:r>
                                </w:p>
                                <w:p w14:paraId="6117552E">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4</w:t>
                                  </w:r>
                                  <w:r>
                                    <w:rPr>
                                      <w:rFonts w:ascii="Times New Roman" w:hAnsi="Times New Roman" w:eastAsia="方正黑体_GBK"/>
                                      <w:szCs w:val="21"/>
                                    </w:rPr>
                                    <w:t>年第</w:t>
                                  </w:r>
                                  <w:r>
                                    <w:rPr>
                                      <w:rFonts w:hint="eastAsia" w:ascii="Times New Roman" w:hAnsi="Times New Roman" w:eastAsia="方正黑体_GBK"/>
                                      <w:szCs w:val="21"/>
                                      <w:lang w:val="en-US" w:eastAsia="zh-CN"/>
                                    </w:rPr>
                                    <w:t>3</w:t>
                                  </w:r>
                                  <w:r>
                                    <w:rPr>
                                      <w:rFonts w:ascii="Times New Roman" w:hAnsi="Times New Roman" w:eastAsia="方正黑体_GBK"/>
                                      <w:szCs w:val="21"/>
                                    </w:rPr>
                                    <w:t>期</w:t>
                                  </w:r>
                                </w:p>
                                <w:p w14:paraId="71C3A750">
                                  <w:pPr>
                                    <w:spacing w:line="400" w:lineRule="exact"/>
                                    <w:jc w:val="center"/>
                                    <w:rPr>
                                      <w:rFonts w:ascii="Times New Roman" w:hAnsi="Times New Roman" w:eastAsia="方正黑体_GBK"/>
                                      <w:szCs w:val="21"/>
                                    </w:rPr>
                                  </w:pPr>
                                  <w:r>
                                    <w:rPr>
                                      <w:rFonts w:ascii="Times New Roman" w:hAnsi="Times New Roman" w:eastAsia="方正黑体_GBK"/>
                                      <w:szCs w:val="21"/>
                                    </w:rPr>
                                    <w:t>（总第</w:t>
                                  </w:r>
                                  <w:r>
                                    <w:rPr>
                                      <w:rFonts w:hint="eastAsia" w:ascii="Times New Roman" w:hAnsi="Times New Roman" w:eastAsia="方正黑体_GBK"/>
                                      <w:szCs w:val="21"/>
                                      <w:lang w:val="en-US" w:eastAsia="zh-CN"/>
                                    </w:rPr>
                                    <w:t>22</w:t>
                                  </w:r>
                                  <w:r>
                                    <w:rPr>
                                      <w:rFonts w:ascii="Times New Roman" w:hAnsi="Times New Roman" w:eastAsia="方正黑体_GBK"/>
                                      <w:szCs w:val="21"/>
                                    </w:rPr>
                                    <w:t>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3" o:spid="_x0000_s1026" o:spt="202" type="#_x0000_t202" style="position:absolute;left:0pt;margin-left:-151.75pt;margin-top:187.1pt;height:90.65pt;width:132pt;z-index:251674624;mso-width-relative:page;mso-height-relative:page;" fillcolor="#FFFFFF" filled="t" stroked="t" coordsize="21600,21600" o:gfxdata="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Hy9jurZAAAADAEAAA8AAAAAAAAAAQAgAAAAIgAAAGRycy9kb3ducmV2LnhtbFBL&#10;AQIUABQAAAAIAIdO4kA1uqMvZwIAANQEAAAOAAAAAAAAAAEAIAAAACgBAABkcnMvZTJvRG9jLnht&#10;bFBLBQYAAAAABgAGAFkBAAABBgAAAAA=&#10;">
                      <v:fill on="t" focussize="0,0"/>
                      <v:stroke weight="0.5pt" color="#FFFFFF" joinstyle="round"/>
                      <v:imagedata o:title=""/>
                      <o:lock v:ext="edit" aspectratio="f"/>
                      <v:textbox>
                        <w:txbxContent>
                          <w:p w14:paraId="412DACF6">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4</w:t>
                            </w:r>
                            <w:r>
                              <w:rPr>
                                <w:rFonts w:ascii="Times New Roman" w:hAnsi="Times New Roman" w:eastAsia="方正黑体_GBK"/>
                                <w:szCs w:val="21"/>
                              </w:rPr>
                              <w:t>年</w:t>
                            </w:r>
                            <w:r>
                              <w:rPr>
                                <w:rFonts w:hint="eastAsia" w:ascii="Times New Roman" w:hAnsi="Times New Roman" w:eastAsia="方正黑体_GBK"/>
                                <w:szCs w:val="21"/>
                                <w:lang w:val="en-US" w:eastAsia="zh-CN"/>
                              </w:rPr>
                              <w:t>6</w:t>
                            </w:r>
                            <w:r>
                              <w:rPr>
                                <w:rFonts w:hint="eastAsia" w:ascii="Times New Roman" w:hAnsi="Times New Roman" w:eastAsia="方正黑体_GBK"/>
                                <w:szCs w:val="21"/>
                              </w:rPr>
                              <w:t>月</w:t>
                            </w:r>
                            <w:r>
                              <w:rPr>
                                <w:rFonts w:hint="eastAsia" w:ascii="Times New Roman" w:hAnsi="Times New Roman" w:eastAsia="方正黑体_GBK"/>
                                <w:szCs w:val="21"/>
                                <w:lang w:val="en-US" w:eastAsia="zh-CN"/>
                              </w:rPr>
                              <w:t>30</w:t>
                            </w:r>
                            <w:r>
                              <w:rPr>
                                <w:rFonts w:hint="eastAsia" w:ascii="Times New Roman" w:hAnsi="Times New Roman" w:eastAsia="方正黑体_GBK"/>
                                <w:szCs w:val="21"/>
                              </w:rPr>
                              <w:t>日出版</w:t>
                            </w:r>
                          </w:p>
                          <w:p w14:paraId="6117552E">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w:t>
                            </w:r>
                            <w:r>
                              <w:rPr>
                                <w:rFonts w:hint="eastAsia" w:ascii="Times New Roman" w:hAnsi="Times New Roman" w:eastAsia="方正黑体_GBK"/>
                                <w:szCs w:val="21"/>
                                <w:lang w:val="en-US" w:eastAsia="zh-CN"/>
                              </w:rPr>
                              <w:t>4</w:t>
                            </w:r>
                            <w:r>
                              <w:rPr>
                                <w:rFonts w:ascii="Times New Roman" w:hAnsi="Times New Roman" w:eastAsia="方正黑体_GBK"/>
                                <w:szCs w:val="21"/>
                              </w:rPr>
                              <w:t>年第</w:t>
                            </w:r>
                            <w:r>
                              <w:rPr>
                                <w:rFonts w:hint="eastAsia" w:ascii="Times New Roman" w:hAnsi="Times New Roman" w:eastAsia="方正黑体_GBK"/>
                                <w:szCs w:val="21"/>
                                <w:lang w:val="en-US" w:eastAsia="zh-CN"/>
                              </w:rPr>
                              <w:t>3</w:t>
                            </w:r>
                            <w:r>
                              <w:rPr>
                                <w:rFonts w:ascii="Times New Roman" w:hAnsi="Times New Roman" w:eastAsia="方正黑体_GBK"/>
                                <w:szCs w:val="21"/>
                              </w:rPr>
                              <w:t>期</w:t>
                            </w:r>
                          </w:p>
                          <w:p w14:paraId="71C3A750">
                            <w:pPr>
                              <w:spacing w:line="400" w:lineRule="exact"/>
                              <w:jc w:val="center"/>
                              <w:rPr>
                                <w:rFonts w:ascii="Times New Roman" w:hAnsi="Times New Roman" w:eastAsia="方正黑体_GBK"/>
                                <w:szCs w:val="21"/>
                              </w:rPr>
                            </w:pPr>
                            <w:r>
                              <w:rPr>
                                <w:rFonts w:ascii="Times New Roman" w:hAnsi="Times New Roman" w:eastAsia="方正黑体_GBK"/>
                                <w:szCs w:val="21"/>
                              </w:rPr>
                              <w:t>（总第</w:t>
                            </w:r>
                            <w:r>
                              <w:rPr>
                                <w:rFonts w:hint="eastAsia" w:ascii="Times New Roman" w:hAnsi="Times New Roman" w:eastAsia="方正黑体_GBK"/>
                                <w:szCs w:val="21"/>
                                <w:lang w:val="en-US" w:eastAsia="zh-CN"/>
                              </w:rPr>
                              <w:t>22</w:t>
                            </w:r>
                            <w:r>
                              <w:rPr>
                                <w:rFonts w:ascii="Times New Roman" w:hAnsi="Times New Roman" w:eastAsia="方正黑体_GBK"/>
                                <w:szCs w:val="21"/>
                              </w:rPr>
                              <w:t>期）</w:t>
                            </w:r>
                          </w:p>
                        </w:txbxContent>
                      </v:textbox>
                    </v:shape>
                  </w:pict>
                </mc:Fallback>
              </mc:AlternateContent>
            </w:r>
            <w:r>
              <w:rPr>
                <w:rFonts w:ascii="黑体" w:hAnsi="黑体" w:eastAsia="黑体" w:cs="黑体"/>
                <w:color w:val="000000"/>
                <w:spacing w:val="-11"/>
                <w:sz w:val="24"/>
              </w:rPr>
              <mc:AlternateContent>
                <mc:Choice Requires="wps">
                  <w:drawing>
                    <wp:anchor distT="0" distB="0" distL="114300" distR="114300" simplePos="0" relativeHeight="251673600" behindDoc="0" locked="0" layoutInCell="1" allowOverlap="1">
                      <wp:simplePos x="0" y="0"/>
                      <wp:positionH relativeFrom="column">
                        <wp:posOffset>-1344295</wp:posOffset>
                      </wp:positionH>
                      <wp:positionV relativeFrom="paragraph">
                        <wp:posOffset>1244600</wp:posOffset>
                      </wp:positionV>
                      <wp:extent cx="533400" cy="1144270"/>
                      <wp:effectExtent l="5080" t="4445" r="13970" b="13335"/>
                      <wp:wrapNone/>
                      <wp:docPr id="11" name="文本框 11"/>
                      <wp:cNvGraphicFramePr/>
                      <a:graphic xmlns:a="http://schemas.openxmlformats.org/drawingml/2006/main">
                        <a:graphicData uri="http://schemas.microsoft.com/office/word/2010/wordprocessingShape">
                          <wps:wsp>
                            <wps:cNvSpPr txBox="1"/>
                            <wps:spPr>
                              <a:xfrm>
                                <a:off x="3527425" y="7025005"/>
                                <a:ext cx="533400" cy="1144270"/>
                              </a:xfrm>
                              <a:prstGeom prst="rect">
                                <a:avLst/>
                              </a:prstGeom>
                              <a:solidFill>
                                <a:srgbClr val="FFFFFF"/>
                              </a:solidFill>
                              <a:ln w="6350">
                                <a:solidFill>
                                  <a:srgbClr val="FFFFFF"/>
                                </a:solidFill>
                              </a:ln>
                              <a:effectLst/>
                            </wps:spPr>
                            <wps:txbx>
                              <w:txbxContent>
                                <w:p w14:paraId="529E474F">
                                  <w:pPr>
                                    <w:jc w:val="distribute"/>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w:t>
                                  </w:r>
                                  <w:r>
                                    <w:rPr>
                                      <w:rFonts w:hint="eastAsia" w:ascii="黑体" w:hAnsi="黑体" w:eastAsia="黑体" w:cs="黑体"/>
                                      <w:sz w:val="30"/>
                                      <w:szCs w:val="30"/>
                                    </w:rPr>
                                    <w:t>双月刊</w:t>
                                  </w:r>
                                  <w:r>
                                    <w:rPr>
                                      <w:rFonts w:hint="eastAsia" w:ascii="方正黑体_GBK" w:hAnsi="方正黑体_GBK" w:eastAsia="方正黑体_GBK" w:cs="方正黑体_GBK"/>
                                      <w:sz w:val="30"/>
                                      <w:szCs w:val="30"/>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5.85pt;margin-top:98pt;height:90.1pt;width:42pt;z-index:251673600;mso-width-relative:page;mso-height-relative:page;" fillcolor="#FFFFFF" filled="t" stroked="t" coordsize="21600,21600" o:gfxdata="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BKwzpjXAAAADQEAAA8AAAAAAAAAAQAgAAAAIgAAAGRycy9kb3ducmV2LnhtbFBL&#10;AQIUABQAAAAIAIdO4kBLXkXraQIAANYEAAAOAAAAAAAAAAEAIAAAACYBAABkcnMvZTJvRG9jLnht&#10;bFBLBQYAAAAABgAGAFkBAAABBgAAAAA=&#10;">
                      <v:fill on="t" focussize="0,0"/>
                      <v:stroke weight="0.5pt" color="#FFFFFF" joinstyle="round"/>
                      <v:imagedata o:title=""/>
                      <o:lock v:ext="edit" aspectratio="f"/>
                      <v:textbox style="layout-flow:vertical-ideographic;">
                        <w:txbxContent>
                          <w:p w14:paraId="529E474F">
                            <w:pPr>
                              <w:jc w:val="distribute"/>
                              <w:rPr>
                                <w:rFonts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w:t>
                            </w:r>
                            <w:r>
                              <w:rPr>
                                <w:rFonts w:hint="eastAsia" w:ascii="黑体" w:hAnsi="黑体" w:eastAsia="黑体" w:cs="黑体"/>
                                <w:sz w:val="30"/>
                                <w:szCs w:val="30"/>
                              </w:rPr>
                              <w:t>双月刊</w:t>
                            </w:r>
                            <w:r>
                              <w:rPr>
                                <w:rFonts w:hint="eastAsia" w:ascii="方正黑体_GBK" w:hAnsi="方正黑体_GBK" w:eastAsia="方正黑体_GBK" w:cs="方正黑体_GBK"/>
                                <w:sz w:val="30"/>
                                <w:szCs w:val="30"/>
                              </w:rPr>
                              <w:t>)</w:t>
                            </w:r>
                          </w:p>
                        </w:txbxContent>
                      </v:textbox>
                    </v:shape>
                  </w:pict>
                </mc:Fallback>
              </mc:AlternateContent>
            </w:r>
            <w:r>
              <w:rPr>
                <w:rFonts w:ascii="黑体" w:hAnsi="黑体" w:eastAsia="黑体" w:cs="黑体"/>
                <w:color w:val="000000"/>
                <w:sz w:val="44"/>
                <w:szCs w:val="44"/>
              </w:rPr>
              <mc:AlternateContent>
                <mc:Choice Requires="wps">
                  <w:drawing>
                    <wp:anchor distT="0" distB="0" distL="114300" distR="114300" simplePos="0" relativeHeight="251665408" behindDoc="0" locked="0" layoutInCell="1" allowOverlap="1">
                      <wp:simplePos x="0" y="0"/>
                      <wp:positionH relativeFrom="column">
                        <wp:posOffset>-1898015</wp:posOffset>
                      </wp:positionH>
                      <wp:positionV relativeFrom="paragraph">
                        <wp:posOffset>5622290</wp:posOffset>
                      </wp:positionV>
                      <wp:extent cx="1676400" cy="1151255"/>
                      <wp:effectExtent l="4445" t="4445" r="14605" b="6350"/>
                      <wp:wrapNone/>
                      <wp:docPr id="13" name="文本框 13"/>
                      <wp:cNvGraphicFramePr/>
                      <a:graphic xmlns:a="http://schemas.openxmlformats.org/drawingml/2006/main">
                        <a:graphicData uri="http://schemas.microsoft.com/office/word/2010/wordprocessingShape">
                          <wps:wsp>
                            <wps:cNvSpPr txBox="1"/>
                            <wps:spPr>
                              <a:xfrm>
                                <a:off x="0" y="0"/>
                                <a:ext cx="982345" cy="487045"/>
                              </a:xfrm>
                              <a:prstGeom prst="rect">
                                <a:avLst/>
                              </a:prstGeom>
                              <a:solidFill>
                                <a:srgbClr val="FFFFFF"/>
                              </a:solidFill>
                              <a:ln w="6350">
                                <a:solidFill>
                                  <a:srgbClr val="FFFFFF"/>
                                </a:solidFill>
                              </a:ln>
                              <a:effectLst/>
                            </wps:spPr>
                            <wps:txbx>
                              <w:txbxContent>
                                <w:p w14:paraId="7FB6EEF1">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w:t>
                                  </w:r>
                                  <w:r>
                                    <w:rPr>
                                      <w:rFonts w:hint="eastAsia" w:ascii="Times New Roman" w:hAnsi="Times New Roman" w:eastAsia="方正黑体_GBK"/>
                                      <w:szCs w:val="21"/>
                                    </w:rPr>
                                    <w:t>8月31日出版</w:t>
                                  </w:r>
                                </w:p>
                                <w:p w14:paraId="3C5F4ADE">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年第</w:t>
                                  </w:r>
                                  <w:r>
                                    <w:rPr>
                                      <w:rFonts w:hint="eastAsia" w:ascii="Times New Roman" w:hAnsi="Times New Roman" w:eastAsia="方正黑体_GBK"/>
                                      <w:szCs w:val="21"/>
                                    </w:rPr>
                                    <w:t>4</w:t>
                                  </w:r>
                                  <w:r>
                                    <w:rPr>
                                      <w:rFonts w:ascii="Times New Roman" w:hAnsi="Times New Roman" w:eastAsia="方正黑体_GBK"/>
                                      <w:szCs w:val="21"/>
                                    </w:rPr>
                                    <w:t>期</w:t>
                                  </w:r>
                                </w:p>
                                <w:p w14:paraId="475C9BE5">
                                  <w:pPr>
                                    <w:spacing w:line="400" w:lineRule="exact"/>
                                    <w:jc w:val="center"/>
                                    <w:rPr>
                                      <w:rFonts w:ascii="方正小标宋简体" w:hAnsi="方正小标宋简体" w:eastAsia="方正小标宋简体" w:cs="方正小标宋简体"/>
                                      <w:szCs w:val="21"/>
                                    </w:rPr>
                                  </w:pPr>
                                  <w:r>
                                    <w:rPr>
                                      <w:rFonts w:ascii="Times New Roman" w:hAnsi="Times New Roman" w:eastAsia="方正黑体_GBK"/>
                                      <w:szCs w:val="21"/>
                                    </w:rPr>
                                    <w:t>（总第</w:t>
                                  </w:r>
                                  <w:r>
                                    <w:rPr>
                                      <w:rFonts w:hint="eastAsia" w:ascii="Times New Roman" w:hAnsi="Times New Roman" w:eastAsia="方正黑体_GBK"/>
                                      <w:szCs w:val="21"/>
                                    </w:rPr>
                                    <w:t>7</w:t>
                                  </w:r>
                                  <w:r>
                                    <w:rPr>
                                      <w:rFonts w:ascii="Times New Roman" w:hAnsi="Times New Roman" w:eastAsia="方正黑体_GBK"/>
                                      <w:szCs w:val="21"/>
                                    </w:rPr>
                                    <w:t>期）</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9.45pt;margin-top:442.7pt;height:90.65pt;width:132pt;z-index:251665408;mso-width-relative:page;mso-height-relative:page;" fillcolor="#FFFFFF" filled="t" stroked="t" coordsize="21600,21600" o:gfxdata="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kpUZa&#10;2wAAAA0BAAAPAAAAAAAAAAEAIAAAACIAAABkcnMvZG93bnJldi54bWxQSwECFAAUAAAACACHTuJA&#10;XGjy1VcCAADHBAAADgAAAAAAAAABACAAAAAqAQAAZHJzL2Uyb0RvYy54bWxQSwUGAAAAAAYABgBZ&#10;AQAA8wUAAAAA&#10;">
                      <v:fill on="t" focussize="0,0"/>
                      <v:stroke weight="0.5pt" color="#FFFFFF" joinstyle="round"/>
                      <v:imagedata o:title=""/>
                      <o:lock v:ext="edit" aspectratio="f"/>
                      <v:textbox>
                        <w:txbxContent>
                          <w:p w14:paraId="7FB6EEF1">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w:t>
                            </w:r>
                            <w:r>
                              <w:rPr>
                                <w:rFonts w:hint="eastAsia" w:ascii="Times New Roman" w:hAnsi="Times New Roman" w:eastAsia="方正黑体_GBK"/>
                                <w:szCs w:val="21"/>
                              </w:rPr>
                              <w:t>8月31日出版</w:t>
                            </w:r>
                          </w:p>
                          <w:p w14:paraId="3C5F4ADE">
                            <w:pPr>
                              <w:spacing w:line="400" w:lineRule="exact"/>
                              <w:jc w:val="center"/>
                              <w:rPr>
                                <w:rFonts w:ascii="Times New Roman" w:hAnsi="Times New Roman" w:eastAsia="方正黑体_GBK"/>
                                <w:szCs w:val="21"/>
                              </w:rPr>
                            </w:pPr>
                            <w:r>
                              <w:rPr>
                                <w:rFonts w:ascii="Times New Roman" w:hAnsi="Times New Roman" w:eastAsia="方正黑体_GBK"/>
                                <w:szCs w:val="21"/>
                              </w:rPr>
                              <w:t>20</w:t>
                            </w:r>
                            <w:r>
                              <w:rPr>
                                <w:rFonts w:hint="eastAsia" w:ascii="Times New Roman" w:hAnsi="Times New Roman" w:eastAsia="方正黑体_GBK"/>
                                <w:szCs w:val="21"/>
                              </w:rPr>
                              <w:t>21</w:t>
                            </w:r>
                            <w:r>
                              <w:rPr>
                                <w:rFonts w:ascii="Times New Roman" w:hAnsi="Times New Roman" w:eastAsia="方正黑体_GBK"/>
                                <w:szCs w:val="21"/>
                              </w:rPr>
                              <w:t>年第</w:t>
                            </w:r>
                            <w:r>
                              <w:rPr>
                                <w:rFonts w:hint="eastAsia" w:ascii="Times New Roman" w:hAnsi="Times New Roman" w:eastAsia="方正黑体_GBK"/>
                                <w:szCs w:val="21"/>
                              </w:rPr>
                              <w:t>4</w:t>
                            </w:r>
                            <w:r>
                              <w:rPr>
                                <w:rFonts w:ascii="Times New Roman" w:hAnsi="Times New Roman" w:eastAsia="方正黑体_GBK"/>
                                <w:szCs w:val="21"/>
                              </w:rPr>
                              <w:t>期</w:t>
                            </w:r>
                          </w:p>
                          <w:p w14:paraId="475C9BE5">
                            <w:pPr>
                              <w:spacing w:line="400" w:lineRule="exact"/>
                              <w:jc w:val="center"/>
                              <w:rPr>
                                <w:rFonts w:ascii="方正小标宋简体" w:hAnsi="方正小标宋简体" w:eastAsia="方正小标宋简体" w:cs="方正小标宋简体"/>
                                <w:szCs w:val="21"/>
                              </w:rPr>
                            </w:pPr>
                            <w:r>
                              <w:rPr>
                                <w:rFonts w:ascii="Times New Roman" w:hAnsi="Times New Roman" w:eastAsia="方正黑体_GBK"/>
                                <w:szCs w:val="21"/>
                              </w:rPr>
                              <w:t>（总第</w:t>
                            </w:r>
                            <w:r>
                              <w:rPr>
                                <w:rFonts w:hint="eastAsia" w:ascii="Times New Roman" w:hAnsi="Times New Roman" w:eastAsia="方正黑体_GBK"/>
                                <w:szCs w:val="21"/>
                              </w:rPr>
                              <w:t>7</w:t>
                            </w:r>
                            <w:r>
                              <w:rPr>
                                <w:rFonts w:ascii="Times New Roman" w:hAnsi="Times New Roman" w:eastAsia="方正黑体_GBK"/>
                                <w:szCs w:val="21"/>
                              </w:rPr>
                              <w:t>期）</w:t>
                            </w:r>
                          </w:p>
                        </w:txbxContent>
                      </v:textbox>
                    </v:shape>
                  </w:pict>
                </mc:Fallback>
              </mc:AlternateContent>
            </w:r>
            <w:r>
              <w:rPr>
                <w:rFonts w:hint="eastAsia" w:ascii="黑体" w:hAnsi="黑体" w:eastAsia="黑体" w:cs="黑体"/>
                <w:color w:val="000000"/>
                <w:sz w:val="24"/>
              </w:rPr>
              <w:t>文    件</w:t>
            </w:r>
          </w:p>
        </w:tc>
        <w:tc>
          <w:tcPr>
            <w:tcW w:w="4959" w:type="dxa"/>
            <w:vAlign w:val="center"/>
          </w:tcPr>
          <w:p w14:paraId="444DA76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关于印发《关于推动“引客入昌江”的旅游发展奖励办法》的通知</w:t>
            </w:r>
          </w:p>
          <w:p w14:paraId="6685FC37">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zh-CN" w:eastAsia="zh-CN" w:bidi="ar-SA"/>
              </w:rPr>
              <w:t>（</w:t>
            </w:r>
            <w:r>
              <w:rPr>
                <w:rFonts w:hint="eastAsia" w:asciiTheme="minorHAnsi" w:hAnsiTheme="minorHAnsi" w:eastAsiaTheme="minorEastAsia" w:cstheme="minorBidi"/>
                <w:kern w:val="2"/>
                <w:sz w:val="21"/>
                <w:szCs w:val="24"/>
                <w:lang w:val="en-US" w:eastAsia="zh-CN" w:bidi="ar-SA"/>
              </w:rPr>
              <w:t>昌府办字〔2024〕20号</w:t>
            </w:r>
            <w:r>
              <w:rPr>
                <w:rFonts w:hint="eastAsia" w:asciiTheme="minorHAnsi" w:hAnsiTheme="minorHAnsi" w:eastAsiaTheme="minorEastAsia" w:cstheme="minorBidi"/>
                <w:kern w:val="2"/>
                <w:sz w:val="21"/>
                <w:szCs w:val="24"/>
                <w:lang w:val="zh-CN" w:eastAsia="zh-CN" w:bidi="ar-SA"/>
              </w:rPr>
              <w:t>）</w:t>
            </w:r>
            <w:r>
              <w:rPr>
                <w:rFonts w:hint="eastAsia" w:asciiTheme="minorHAnsi" w:hAnsiTheme="minorHAnsi" w:eastAsiaTheme="minorEastAsia" w:cstheme="minorBidi"/>
                <w:kern w:val="2"/>
                <w:sz w:val="21"/>
                <w:szCs w:val="24"/>
                <w:lang w:val="en-US" w:eastAsia="zh-CN" w:bidi="ar-SA"/>
              </w:rPr>
              <w:t>………………………（1）</w:t>
            </w:r>
          </w:p>
          <w:p w14:paraId="6784D7CA">
            <w:pPr>
              <w:pStyle w:val="38"/>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heme="minorHAnsi" w:hAnsiTheme="minorHAnsi" w:eastAsiaTheme="minorEastAsia" w:cstheme="minorBidi"/>
                <w:kern w:val="2"/>
                <w:sz w:val="21"/>
                <w:szCs w:val="24"/>
                <w:lang w:val="en-US" w:eastAsia="zh-Hans" w:bidi="ar-SA"/>
              </w:rPr>
            </w:pPr>
            <w:r>
              <w:rPr>
                <w:rFonts w:hint="eastAsia" w:asciiTheme="minorHAnsi" w:hAnsiTheme="minorHAnsi" w:eastAsiaTheme="minorEastAsia" w:cstheme="minorBidi"/>
                <w:kern w:val="2"/>
                <w:sz w:val="21"/>
                <w:szCs w:val="24"/>
                <w:lang w:val="en-US" w:eastAsia="zh-Hans" w:bidi="ar-SA"/>
              </w:rPr>
              <w:t>昌江区人民政府办公室关于印发《昌江区应急管理综合考核办法》的通知</w:t>
            </w:r>
          </w:p>
          <w:p w14:paraId="04B73372">
            <w:pPr>
              <w:pStyle w:val="38"/>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（昌府办字〔2024〕25号）………………………（</w:t>
            </w:r>
            <w:r>
              <w:rPr>
                <w:rFonts w:hint="eastAsia" w:cstheme="minorBidi"/>
                <w:kern w:val="2"/>
                <w:sz w:val="21"/>
                <w:szCs w:val="24"/>
                <w:lang w:val="en-US" w:eastAsia="zh-CN" w:bidi="ar-SA"/>
              </w:rPr>
              <w:t>8</w:t>
            </w:r>
            <w:r>
              <w:rPr>
                <w:rFonts w:hint="eastAsia" w:asciiTheme="minorHAnsi" w:hAnsiTheme="minorHAnsi" w:eastAsiaTheme="minorEastAsia" w:cstheme="minorBidi"/>
                <w:kern w:val="2"/>
                <w:sz w:val="21"/>
                <w:szCs w:val="24"/>
                <w:lang w:val="en-US" w:eastAsia="zh-CN" w:bidi="ar-SA"/>
              </w:rPr>
              <w:t>）</w:t>
            </w:r>
          </w:p>
          <w:p w14:paraId="3DF269BE">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关于印发《</w:t>
            </w:r>
            <w:r>
              <w:rPr>
                <w:rFonts w:hint="eastAsia" w:asciiTheme="minorHAnsi" w:hAnsiTheme="minorHAnsi" w:eastAsiaTheme="minorEastAsia" w:cstheme="minorBidi"/>
                <w:kern w:val="2"/>
                <w:sz w:val="21"/>
                <w:szCs w:val="24"/>
                <w:lang w:val="en-US" w:eastAsia="zh-Hans" w:bidi="ar-SA"/>
              </w:rPr>
              <w:t>昌江区制造业重点产业链现代化建设行动方案（2024-2026年）</w:t>
            </w:r>
            <w:r>
              <w:rPr>
                <w:rFonts w:hint="eastAsia" w:asciiTheme="minorHAnsi" w:hAnsiTheme="minorHAnsi" w:eastAsiaTheme="minorEastAsia" w:cstheme="minorBidi"/>
                <w:kern w:val="2"/>
                <w:sz w:val="21"/>
                <w:szCs w:val="24"/>
                <w:lang w:val="en-US" w:eastAsia="zh-CN" w:bidi="ar-SA"/>
              </w:rPr>
              <w:t>》的通知</w:t>
            </w:r>
          </w:p>
          <w:p w14:paraId="1D996D0F">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cstheme="minorBidi"/>
                <w:kern w:val="2"/>
                <w:sz w:val="21"/>
                <w:szCs w:val="24"/>
                <w:lang w:val="en-US" w:eastAsia="zh-CN" w:bidi="ar-SA"/>
              </w:rPr>
              <w:t>（</w:t>
            </w:r>
            <w:r>
              <w:rPr>
                <w:rFonts w:hint="eastAsia" w:asciiTheme="minorHAnsi" w:hAnsiTheme="minorHAnsi" w:eastAsiaTheme="minorEastAsia" w:cstheme="minorBidi"/>
                <w:kern w:val="2"/>
                <w:sz w:val="21"/>
                <w:szCs w:val="24"/>
                <w:lang w:val="en-US" w:eastAsia="zh-CN" w:bidi="ar-SA"/>
              </w:rPr>
              <w:t>昌府办字〔2024〕30号</w:t>
            </w:r>
            <w:r>
              <w:rPr>
                <w:rFonts w:hint="eastAsia" w:asciiTheme="minorHAnsi" w:hAnsiTheme="minorHAnsi" w:cstheme="minorBidi"/>
                <w:kern w:val="2"/>
                <w:sz w:val="21"/>
                <w:szCs w:val="24"/>
                <w:lang w:val="en-US" w:eastAsia="zh-CN" w:bidi="ar-SA"/>
              </w:rPr>
              <w:t>）</w:t>
            </w:r>
            <w:r>
              <w:rPr>
                <w:rFonts w:hint="eastAsia" w:asciiTheme="minorHAnsi" w:hAnsiTheme="minorHAnsi" w:eastAsiaTheme="minorEastAsia" w:cstheme="minorBidi"/>
                <w:kern w:val="2"/>
                <w:sz w:val="21"/>
                <w:szCs w:val="24"/>
                <w:lang w:val="en-US" w:eastAsia="zh-CN" w:bidi="ar-SA"/>
              </w:rPr>
              <w:t>………………………（</w:t>
            </w:r>
            <w:r>
              <w:rPr>
                <w:rFonts w:hint="eastAsia" w:asciiTheme="minorHAnsi" w:hAnsiTheme="minorHAnsi" w:cstheme="minorBidi"/>
                <w:kern w:val="2"/>
                <w:sz w:val="21"/>
                <w:szCs w:val="24"/>
                <w:lang w:val="en-US" w:eastAsia="zh-CN" w:bidi="ar-SA"/>
              </w:rPr>
              <w:t>15</w:t>
            </w:r>
            <w:r>
              <w:rPr>
                <w:rFonts w:hint="eastAsia" w:asciiTheme="minorHAnsi" w:hAnsiTheme="minorHAnsi" w:eastAsiaTheme="minorEastAsia" w:cstheme="minorBidi"/>
                <w:kern w:val="2"/>
                <w:sz w:val="21"/>
                <w:szCs w:val="24"/>
                <w:lang w:val="en-US" w:eastAsia="zh-CN" w:bidi="ar-SA"/>
              </w:rPr>
              <w:t>）</w:t>
            </w:r>
          </w:p>
          <w:p w14:paraId="5289EAEC">
            <w:pPr>
              <w:pStyle w:val="38"/>
              <w:spacing w:line="560" w:lineRule="exact"/>
              <w:jc w:val="both"/>
              <w:rPr>
                <w:rFonts w:hint="eastAsia" w:asciiTheme="minorHAnsi" w:hAnsiTheme="minorHAnsi" w:eastAsiaTheme="minorEastAsia" w:cstheme="minorBidi"/>
                <w:kern w:val="2"/>
                <w:sz w:val="21"/>
                <w:szCs w:val="24"/>
                <w:lang w:val="en-US" w:eastAsia="zh-CN" w:bidi="ar-SA"/>
              </w:rPr>
            </w:pPr>
            <w:bookmarkStart w:id="9" w:name="_GoBack"/>
            <w:bookmarkEnd w:id="9"/>
          </w:p>
        </w:tc>
      </w:tr>
    </w:tbl>
    <w:p w14:paraId="366F9151">
      <w:pPr>
        <w:spacing w:line="600" w:lineRule="exact"/>
        <w:jc w:val="left"/>
        <w:rPr>
          <w:rFonts w:hint="eastAsia" w:ascii="方正小标宋简体" w:hAnsi="方正小标宋简体" w:eastAsia="方正小标宋简体" w:cs="方正小标宋简体"/>
          <w:color w:val="000000"/>
          <w:spacing w:val="17"/>
          <w:sz w:val="52"/>
          <w:szCs w:val="52"/>
        </w:rPr>
      </w:pPr>
    </w:p>
    <w:p w14:paraId="6ADBEF14">
      <w:pPr>
        <w:spacing w:line="600" w:lineRule="exact"/>
        <w:ind w:left="-5" w:firstLine="1024" w:firstLineChars="185"/>
        <w:jc w:val="left"/>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pacing w:val="17"/>
          <w:sz w:val="52"/>
          <w:szCs w:val="52"/>
        </w:rPr>
        <w:t>传达政令</w:t>
      </w:r>
      <w:r>
        <w:rPr>
          <w:rFonts w:hint="eastAsia" w:ascii="方正小标宋简体" w:hAnsi="方正小标宋简体" w:eastAsia="方正小标宋简体" w:cs="方正小标宋简体"/>
          <w:color w:val="000000"/>
          <w:sz w:val="52"/>
          <w:szCs w:val="52"/>
        </w:rPr>
        <w:t xml:space="preserve">  </w:t>
      </w:r>
      <w:r>
        <w:rPr>
          <w:rFonts w:hint="eastAsia" w:ascii="方正小标宋简体" w:hAnsi="方正小标宋简体" w:eastAsia="方正小标宋简体" w:cs="方正小标宋简体"/>
          <w:color w:val="000000"/>
          <w:spacing w:val="17"/>
          <w:sz w:val="52"/>
          <w:szCs w:val="52"/>
        </w:rPr>
        <w:t>宣传政策</w:t>
      </w:r>
    </w:p>
    <w:p w14:paraId="5C6DD309">
      <w:pPr>
        <w:spacing w:line="600" w:lineRule="exact"/>
        <w:ind w:left="-5" w:firstLine="1024" w:firstLineChars="185"/>
        <w:jc w:val="left"/>
        <w:rPr>
          <w:rFonts w:ascii="方正小标宋简体" w:hAnsi="方正小标宋简体" w:eastAsia="方正小标宋简体" w:cs="方正小标宋简体"/>
          <w:color w:val="000000"/>
          <w:sz w:val="52"/>
          <w:szCs w:val="52"/>
        </w:rPr>
      </w:pPr>
      <w:r>
        <w:rPr>
          <w:rFonts w:hint="eastAsia" w:ascii="方正小标宋简体" w:hAnsi="方正小标宋简体" w:eastAsia="方正小标宋简体" w:cs="方正小标宋简体"/>
          <w:color w:val="000000"/>
          <w:spacing w:val="17"/>
          <w:sz w:val="52"/>
          <w:szCs w:val="52"/>
        </w:rPr>
        <w:t>指导工作</w:t>
      </w:r>
      <w:r>
        <w:rPr>
          <w:rFonts w:hint="eastAsia" w:ascii="方正小标宋简体" w:hAnsi="方正小标宋简体" w:eastAsia="方正小标宋简体" w:cs="方正小标宋简体"/>
          <w:color w:val="000000"/>
          <w:sz w:val="52"/>
          <w:szCs w:val="52"/>
        </w:rPr>
        <w:t xml:space="preserve">  </w:t>
      </w:r>
      <w:r>
        <w:rPr>
          <w:rFonts w:hint="eastAsia" w:ascii="方正小标宋简体" w:hAnsi="方正小标宋简体" w:eastAsia="方正小标宋简体" w:cs="方正小标宋简体"/>
          <w:color w:val="000000"/>
          <w:spacing w:val="17"/>
          <w:sz w:val="52"/>
          <w:szCs w:val="52"/>
        </w:rPr>
        <w:t>服务社会</w:t>
      </w:r>
    </w:p>
    <w:tbl>
      <w:tblPr>
        <w:tblStyle w:val="19"/>
        <w:tblpPr w:leftFromText="180" w:rightFromText="180" w:vertAnchor="text" w:horzAnchor="page" w:tblpX="1470" w:tblpY="6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4870"/>
      </w:tblGrid>
      <w:tr w14:paraId="25803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7" w:hRule="atLeast"/>
        </w:trPr>
        <w:tc>
          <w:tcPr>
            <w:tcW w:w="1525" w:type="dxa"/>
            <w:vAlign w:val="center"/>
          </w:tcPr>
          <w:p w14:paraId="5DDEE1E7">
            <w:pPr>
              <w:spacing w:line="560" w:lineRule="exact"/>
              <w:jc w:val="center"/>
              <w:rPr>
                <w:rFonts w:ascii="Times New Roman" w:hAnsi="Times New Roman" w:eastAsia="方正黑体_GBK"/>
                <w:b/>
                <w:bCs/>
                <w:color w:val="000000"/>
                <w:sz w:val="24"/>
              </w:rPr>
            </w:pPr>
            <w:r>
              <w:rPr>
                <w:rFonts w:hint="eastAsia" w:ascii="黑体" w:hAnsi="黑体" w:eastAsia="黑体" w:cs="黑体"/>
                <w:color w:val="000000"/>
                <w:spacing w:val="-11"/>
                <w:sz w:val="24"/>
              </w:rPr>
              <w:t>政务动态</w:t>
            </w:r>
          </w:p>
        </w:tc>
        <w:tc>
          <w:tcPr>
            <w:tcW w:w="4870" w:type="dxa"/>
            <w:vAlign w:val="center"/>
          </w:tcPr>
          <w:p w14:paraId="172F45BF">
            <w:pPr>
              <w:shd w:val="clear" w:color="auto" w:fill="FFFFFF"/>
              <w:spacing w:line="120" w:lineRule="exact"/>
              <w:rPr>
                <w:rFonts w:ascii="Times New Roman" w:hAnsi="Times New Roman" w:eastAsia="方正书宋_GBK"/>
                <w:color w:val="000000"/>
                <w:kern w:val="0"/>
                <w:szCs w:val="21"/>
              </w:rPr>
            </w:pPr>
          </w:p>
          <w:p w14:paraId="383DA2B4">
            <w:pPr>
              <w:pStyle w:val="3"/>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ascii="Times New Roman" w:hAnsi="Times New Roman" w:eastAsia="方正书宋_GBK"/>
                <w:b w:val="0"/>
                <w:color w:val="000000"/>
                <w:spacing w:val="-11"/>
                <w:kern w:val="2"/>
                <w:sz w:val="21"/>
                <w:szCs w:val="21"/>
              </w:rPr>
            </w:pP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46</w:t>
            </w:r>
            <w:r>
              <w:rPr>
                <w:rFonts w:hint="eastAsia" w:ascii="Calibri" w:hAnsi="Calibri" w:eastAsia="宋体" w:cs="Times New Roman"/>
                <w:b w:val="0"/>
                <w:bCs w:val="0"/>
                <w:kern w:val="2"/>
                <w:sz w:val="21"/>
                <w:szCs w:val="24"/>
              </w:rPr>
              <w:t>次常务会议</w:t>
            </w:r>
            <w:r>
              <w:rPr>
                <w:rFonts w:hint="eastAsia" w:ascii="Times New Roman" w:hAnsi="Times New Roman" w:eastAsia="方正书宋_GBK"/>
                <w:b w:val="0"/>
                <w:color w:val="000000"/>
                <w:spacing w:val="-11"/>
                <w:kern w:val="2"/>
                <w:sz w:val="21"/>
                <w:szCs w:val="21"/>
              </w:rPr>
              <w:t xml:space="preserve"> </w:t>
            </w:r>
          </w:p>
          <w:p w14:paraId="1A664707">
            <w:pPr>
              <w:pStyle w:val="3"/>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ascii="楷体" w:hAnsi="楷体" w:eastAsia="楷体" w:cs="楷体"/>
                <w:b w:val="0"/>
                <w:bCs w:val="0"/>
                <w:kern w:val="2"/>
                <w:sz w:val="21"/>
                <w:szCs w:val="24"/>
              </w:rPr>
            </w:pPr>
            <w:r>
              <w:rPr>
                <w:rFonts w:hint="eastAsia" w:ascii="楷体" w:hAnsi="楷体" w:eastAsia="楷体" w:cs="楷体"/>
                <w:b w:val="0"/>
                <w:bCs w:val="0"/>
                <w:kern w:val="2"/>
                <w:sz w:val="21"/>
                <w:szCs w:val="24"/>
              </w:rPr>
              <w:t>……………………………………………………（</w:t>
            </w:r>
            <w:r>
              <w:rPr>
                <w:rFonts w:hint="eastAsia" w:ascii="楷体" w:hAnsi="楷体" w:eastAsia="楷体" w:cs="楷体"/>
                <w:b w:val="0"/>
                <w:bCs w:val="0"/>
                <w:kern w:val="2"/>
                <w:sz w:val="21"/>
                <w:szCs w:val="24"/>
                <w:lang w:val="en-US" w:eastAsia="zh-CN"/>
              </w:rPr>
              <w:t>42</w:t>
            </w:r>
            <w:r>
              <w:rPr>
                <w:rFonts w:hint="eastAsia" w:ascii="楷体" w:hAnsi="楷体" w:eastAsia="楷体" w:cs="楷体"/>
                <w:b w:val="0"/>
                <w:bCs w:val="0"/>
                <w:kern w:val="2"/>
                <w:sz w:val="21"/>
                <w:szCs w:val="24"/>
              </w:rPr>
              <w:t>）</w:t>
            </w:r>
          </w:p>
          <w:p w14:paraId="0BFD0E51">
            <w:pPr>
              <w:pStyle w:val="3"/>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ascii="Calibri" w:hAnsi="Calibri" w:eastAsia="宋体" w:cs="Times New Roman"/>
                <w:b w:val="0"/>
                <w:bCs w:val="0"/>
                <w:kern w:val="2"/>
                <w:sz w:val="21"/>
                <w:szCs w:val="24"/>
              </w:rPr>
            </w:pP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47</w:t>
            </w:r>
            <w:r>
              <w:rPr>
                <w:rFonts w:hint="eastAsia" w:ascii="Calibri" w:hAnsi="Calibri" w:eastAsia="宋体" w:cs="Times New Roman"/>
                <w:b w:val="0"/>
                <w:bCs w:val="0"/>
                <w:kern w:val="2"/>
                <w:sz w:val="21"/>
                <w:szCs w:val="24"/>
              </w:rPr>
              <w:t xml:space="preserve">次常务会议 </w:t>
            </w:r>
          </w:p>
          <w:p w14:paraId="12C424A6">
            <w:pPr>
              <w:pStyle w:val="3"/>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textAlignment w:val="auto"/>
              <w:rPr>
                <w:rFonts w:ascii="Calibri" w:hAnsi="Calibri" w:eastAsia="宋体" w:cs="Times New Roman"/>
                <w:b w:val="0"/>
                <w:bCs w:val="0"/>
                <w:kern w:val="2"/>
                <w:sz w:val="21"/>
                <w:szCs w:val="24"/>
              </w:rPr>
            </w:pPr>
            <w:r>
              <w:rPr>
                <w:rFonts w:hint="eastAsia" w:ascii="楷体" w:hAnsi="楷体" w:eastAsia="楷体" w:cs="楷体"/>
                <w:b w:val="0"/>
                <w:bCs w:val="0"/>
                <w:kern w:val="2"/>
                <w:sz w:val="21"/>
                <w:szCs w:val="24"/>
              </w:rPr>
              <w:t>……………………………………………………（</w:t>
            </w:r>
            <w:r>
              <w:rPr>
                <w:rFonts w:hint="eastAsia" w:ascii="楷体" w:hAnsi="楷体" w:eastAsia="楷体" w:cs="楷体"/>
                <w:b w:val="0"/>
                <w:bCs w:val="0"/>
                <w:kern w:val="2"/>
                <w:sz w:val="21"/>
                <w:szCs w:val="24"/>
                <w:lang w:val="en-US" w:eastAsia="zh-CN"/>
              </w:rPr>
              <w:t>44</w:t>
            </w:r>
            <w:r>
              <w:rPr>
                <w:rFonts w:hint="eastAsia" w:ascii="楷体" w:hAnsi="楷体" w:eastAsia="楷体" w:cs="楷体"/>
                <w:b w:val="0"/>
                <w:bCs w:val="0"/>
                <w:kern w:val="2"/>
                <w:sz w:val="21"/>
                <w:szCs w:val="24"/>
              </w:rPr>
              <w:t>）</w:t>
            </w:r>
            <w:r>
              <w:rPr>
                <w:rFonts w:hint="eastAsia" w:ascii="Calibri" w:hAnsi="Calibri" w:eastAsia="宋体" w:cs="Times New Roman"/>
                <w:b w:val="0"/>
                <w:bCs w:val="0"/>
                <w:kern w:val="2"/>
                <w:sz w:val="21"/>
                <w:szCs w:val="24"/>
              </w:rPr>
              <w:t>区政府召开第</w:t>
            </w:r>
            <w:r>
              <w:rPr>
                <w:rFonts w:hint="eastAsia" w:ascii="Calibri" w:hAnsi="Calibri" w:eastAsia="宋体" w:cs="Times New Roman"/>
                <w:b w:val="0"/>
                <w:bCs w:val="0"/>
                <w:kern w:val="2"/>
                <w:sz w:val="21"/>
                <w:szCs w:val="24"/>
                <w:lang w:val="en-US" w:eastAsia="zh-CN"/>
              </w:rPr>
              <w:t>48</w:t>
            </w:r>
            <w:r>
              <w:rPr>
                <w:rFonts w:hint="eastAsia" w:ascii="Calibri" w:hAnsi="Calibri" w:eastAsia="宋体" w:cs="Times New Roman"/>
                <w:b w:val="0"/>
                <w:bCs w:val="0"/>
                <w:kern w:val="2"/>
                <w:sz w:val="21"/>
                <w:szCs w:val="24"/>
              </w:rPr>
              <w:t xml:space="preserve">次常务会议 </w:t>
            </w:r>
          </w:p>
          <w:p w14:paraId="62163906">
            <w:pPr>
              <w:pStyle w:val="3"/>
              <w:pageBreakBefore w:val="0"/>
              <w:shd w:val="clear" w:color="auto" w:fill="FFFFFF"/>
              <w:kinsoku/>
              <w:wordWrap/>
              <w:overflowPunct/>
              <w:topLinePunct w:val="0"/>
              <w:autoSpaceDE/>
              <w:autoSpaceDN/>
              <w:bidi w:val="0"/>
              <w:adjustRightInd/>
              <w:snapToGrid/>
              <w:spacing w:before="0" w:after="0" w:line="560" w:lineRule="exact"/>
              <w:textAlignment w:val="auto"/>
              <w:rPr>
                <w:rFonts w:ascii="Times New Roman" w:hAnsi="Times New Roman" w:eastAsia="方正楷体_GBK"/>
                <w:color w:val="000000"/>
                <w:szCs w:val="21"/>
              </w:rPr>
            </w:pPr>
            <w:r>
              <w:rPr>
                <w:rFonts w:hint="eastAsia" w:ascii="楷体" w:hAnsi="楷体" w:eastAsia="楷体" w:cs="楷体"/>
                <w:b w:val="0"/>
                <w:bCs w:val="0"/>
                <w:kern w:val="2"/>
                <w:sz w:val="21"/>
                <w:szCs w:val="24"/>
              </w:rPr>
              <w:t>……………………………………………………（</w:t>
            </w:r>
            <w:r>
              <w:rPr>
                <w:rFonts w:hint="eastAsia" w:ascii="楷体" w:hAnsi="楷体" w:eastAsia="楷体" w:cs="楷体"/>
                <w:b w:val="0"/>
                <w:bCs w:val="0"/>
                <w:kern w:val="2"/>
                <w:sz w:val="21"/>
                <w:szCs w:val="24"/>
                <w:lang w:val="en-US" w:eastAsia="zh-CN"/>
              </w:rPr>
              <w:t>47</w:t>
            </w:r>
            <w:r>
              <w:rPr>
                <w:rFonts w:hint="eastAsia" w:ascii="楷体" w:hAnsi="楷体" w:eastAsia="楷体" w:cs="楷体"/>
                <w:b w:val="0"/>
                <w:bCs w:val="0"/>
                <w:kern w:val="2"/>
                <w:sz w:val="21"/>
                <w:szCs w:val="24"/>
              </w:rPr>
              <w:t>）</w:t>
            </w:r>
          </w:p>
        </w:tc>
      </w:tr>
    </w:tbl>
    <w:p w14:paraId="0B93177F">
      <w:pPr>
        <w:spacing w:line="240" w:lineRule="exact"/>
        <w:rPr>
          <w:rFonts w:ascii="Times New Roman" w:hAnsi="Times New Roman" w:eastAsia="微软雅黑"/>
          <w:color w:val="000000"/>
          <w:szCs w:val="21"/>
        </w:rPr>
      </w:pPr>
      <w:r>
        <w:rPr>
          <w:rFonts w:ascii="Times New Roman" w:hAnsi="Times New Roman" w:eastAsia="方正黑体_GBK"/>
          <w:color w:val="000000"/>
        </w:rPr>
        <mc:AlternateContent>
          <mc:Choice Requires="wps">
            <w:drawing>
              <wp:anchor distT="0" distB="0" distL="114300" distR="114300" simplePos="0" relativeHeight="251662336" behindDoc="0" locked="0" layoutInCell="1" allowOverlap="1">
                <wp:simplePos x="0" y="0"/>
                <wp:positionH relativeFrom="column">
                  <wp:posOffset>-54610</wp:posOffset>
                </wp:positionH>
                <wp:positionV relativeFrom="paragraph">
                  <wp:posOffset>27305</wp:posOffset>
                </wp:positionV>
                <wp:extent cx="2183765" cy="7211695"/>
                <wp:effectExtent l="5080" t="4445" r="20955" b="22860"/>
                <wp:wrapNone/>
                <wp:docPr id="15" name="文本框 15"/>
                <wp:cNvGraphicFramePr/>
                <a:graphic xmlns:a="http://schemas.openxmlformats.org/drawingml/2006/main">
                  <a:graphicData uri="http://schemas.microsoft.com/office/word/2010/wordprocessingShape">
                    <wps:wsp>
                      <wps:cNvSpPr txBox="1"/>
                      <wps:spPr>
                        <a:xfrm>
                          <a:off x="5012055" y="2339975"/>
                          <a:ext cx="2183765" cy="7259955"/>
                        </a:xfrm>
                        <a:prstGeom prst="rect">
                          <a:avLst/>
                        </a:prstGeom>
                        <a:solidFill>
                          <a:srgbClr val="FFFFFF"/>
                        </a:solidFill>
                        <a:ln w="6350">
                          <a:solidFill>
                            <a:srgbClr val="FFFFFF"/>
                          </a:solidFill>
                        </a:ln>
                        <a:effectLst/>
                      </wps:spPr>
                      <wps:txbx>
                        <w:txbxContent>
                          <w:p w14:paraId="391FE24B">
                            <w:pPr>
                              <w:spacing w:line="380" w:lineRule="exact"/>
                              <w:rPr>
                                <w:rFonts w:ascii="黑体" w:hAnsi="黑体" w:eastAsia="黑体" w:cs="黑体"/>
                                <w:b/>
                                <w:bCs/>
                                <w:sz w:val="24"/>
                              </w:rPr>
                            </w:pPr>
                            <w:r>
                              <w:rPr>
                                <w:rFonts w:hint="eastAsia" w:ascii="黑体" w:hAnsi="黑体" w:eastAsia="黑体" w:cs="黑体"/>
                                <w:b/>
                                <w:bCs/>
                                <w:sz w:val="24"/>
                              </w:rPr>
                              <w:t>编 辑 委 员 会</w:t>
                            </w:r>
                          </w:p>
                          <w:p w14:paraId="4C965B67">
                            <w:pPr>
                              <w:spacing w:line="240" w:lineRule="exact"/>
                              <w:rPr>
                                <w:rFonts w:ascii="仿宋_GB2312" w:hAnsi="仿宋_GB2312" w:eastAsia="仿宋_GB2312" w:cs="仿宋_GB2312"/>
                              </w:rPr>
                            </w:pPr>
                          </w:p>
                          <w:p w14:paraId="0616E9FF">
                            <w:pPr>
                              <w:spacing w:line="400" w:lineRule="exact"/>
                              <w:rPr>
                                <w:rFonts w:hint="eastAsia" w:ascii="仿宋_GB2312" w:hAnsi="仿宋_GB2312" w:eastAsia="黑体" w:cs="仿宋_GB2312"/>
                                <w:sz w:val="22"/>
                                <w:szCs w:val="28"/>
                                <w:lang w:eastAsia="zh-CN"/>
                              </w:rPr>
                            </w:pPr>
                            <w:r>
                              <w:rPr>
                                <w:rFonts w:hint="eastAsia" w:ascii="黑体" w:hAnsi="黑体" w:eastAsia="黑体" w:cs="黑体"/>
                                <w:sz w:val="22"/>
                                <w:szCs w:val="28"/>
                              </w:rPr>
                              <w:t>主      任：</w:t>
                            </w:r>
                            <w:r>
                              <w:rPr>
                                <w:rFonts w:hint="eastAsia" w:ascii="楷体_GB2312" w:hAnsi="楷体_GB2312" w:eastAsia="楷体_GB2312" w:cs="楷体_GB2312"/>
                                <w:sz w:val="22"/>
                                <w:szCs w:val="28"/>
                                <w:lang w:eastAsia="zh-CN"/>
                              </w:rPr>
                              <w:t>李镒岚</w:t>
                            </w:r>
                          </w:p>
                          <w:p w14:paraId="16725371">
                            <w:pPr>
                              <w:spacing w:line="400" w:lineRule="exact"/>
                              <w:rPr>
                                <w:rFonts w:hint="eastAsia" w:ascii="楷体_GB2312" w:hAnsi="楷体_GB2312" w:eastAsia="黑体" w:cs="楷体_GB2312"/>
                                <w:sz w:val="22"/>
                                <w:szCs w:val="28"/>
                                <w:lang w:eastAsia="zh-CN"/>
                              </w:rPr>
                            </w:pPr>
                            <w:r>
                              <w:rPr>
                                <w:rFonts w:hint="eastAsia" w:ascii="黑体" w:hAnsi="黑体" w:eastAsia="黑体" w:cs="黑体"/>
                                <w:sz w:val="22"/>
                                <w:szCs w:val="28"/>
                              </w:rPr>
                              <w:t>副  主  任：</w:t>
                            </w:r>
                            <w:r>
                              <w:rPr>
                                <w:rFonts w:hint="eastAsia" w:ascii="楷体_GB2312" w:hAnsi="楷体_GB2312" w:eastAsia="楷体_GB2312" w:cs="楷体_GB2312"/>
                                <w:sz w:val="22"/>
                                <w:szCs w:val="28"/>
                                <w:lang w:eastAsia="zh-CN"/>
                              </w:rPr>
                              <w:t>王瀚洋</w:t>
                            </w:r>
                          </w:p>
                          <w:p w14:paraId="7C5CAA67">
                            <w:pPr>
                              <w:tabs>
                                <w:tab w:val="left" w:pos="1260"/>
                              </w:tabs>
                              <w:spacing w:line="400" w:lineRule="exact"/>
                              <w:rPr>
                                <w:rFonts w:ascii="楷体_GB2312" w:hAnsi="楷体_GB2312" w:eastAsia="楷体_GB2312" w:cs="楷体_GB2312"/>
                                <w:sz w:val="22"/>
                                <w:szCs w:val="28"/>
                              </w:rPr>
                            </w:pPr>
                            <w:r>
                              <w:rPr>
                                <w:rFonts w:hint="eastAsia" w:ascii="黑体" w:hAnsi="黑体" w:eastAsia="黑体" w:cs="黑体"/>
                                <w:sz w:val="22"/>
                                <w:szCs w:val="28"/>
                              </w:rPr>
                              <w:t>委      员：</w:t>
                            </w:r>
                            <w:r>
                              <w:rPr>
                                <w:rFonts w:hint="eastAsia" w:ascii="楷体_GB2312" w:hAnsi="楷体_GB2312" w:eastAsia="楷体_GB2312" w:cs="楷体_GB2312"/>
                                <w:sz w:val="22"/>
                                <w:szCs w:val="28"/>
                                <w:lang w:eastAsia="zh-CN"/>
                              </w:rPr>
                              <w:t>段守阳</w:t>
                            </w:r>
                            <w:r>
                              <w:rPr>
                                <w:rFonts w:hint="eastAsia" w:ascii="楷体_GB2312" w:hAnsi="楷体_GB2312" w:eastAsia="楷体_GB2312" w:cs="楷体_GB2312"/>
                                <w:sz w:val="22"/>
                                <w:szCs w:val="28"/>
                              </w:rPr>
                              <w:t xml:space="preserve">  彭  丹</w:t>
                            </w:r>
                          </w:p>
                          <w:p w14:paraId="53272984">
                            <w:pPr>
                              <w:tabs>
                                <w:tab w:val="left" w:pos="1260"/>
                              </w:tabs>
                              <w:spacing w:line="400" w:lineRule="exact"/>
                              <w:rPr>
                                <w:rFonts w:hint="eastAsia" w:ascii="楷体_GB2312" w:hAnsi="楷体_GB2312" w:eastAsia="楷体_GB2312" w:cs="楷体_GB2312"/>
                                <w:sz w:val="22"/>
                                <w:szCs w:val="28"/>
                                <w:lang w:eastAsia="zh-CN"/>
                              </w:rPr>
                            </w:pPr>
                            <w:r>
                              <w:rPr>
                                <w:rFonts w:hint="eastAsia" w:ascii="楷体_GB2312" w:hAnsi="楷体_GB2312" w:eastAsia="楷体_GB2312" w:cs="楷体_GB2312"/>
                                <w:sz w:val="22"/>
                                <w:szCs w:val="28"/>
                              </w:rPr>
                              <w:t xml:space="preserve">            郝卿雅  徐润发</w:t>
                            </w:r>
                          </w:p>
                          <w:p w14:paraId="03A2FEC2">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胡河胜</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汪朝斌</w:t>
                            </w:r>
                          </w:p>
                          <w:p w14:paraId="218FEF0D">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李  胜  王  炜</w:t>
                            </w:r>
                          </w:p>
                          <w:p w14:paraId="7E323FBB">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祝平风</w:t>
                            </w:r>
                            <w:r>
                              <w:rPr>
                                <w:rFonts w:hint="eastAsia" w:ascii="楷体_GB2312" w:hAnsi="楷体_GB2312" w:eastAsia="楷体_GB2312" w:cs="楷体_GB2312"/>
                                <w:sz w:val="22"/>
                                <w:szCs w:val="28"/>
                              </w:rPr>
                              <w:t xml:space="preserve">  </w:t>
                            </w:r>
                          </w:p>
                          <w:p w14:paraId="3987BE3B">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p>
                          <w:p w14:paraId="398679E1">
                            <w:pPr>
                              <w:spacing w:line="380" w:lineRule="exact"/>
                              <w:rPr>
                                <w:rFonts w:ascii="仿宋_GB2312" w:hAnsi="仿宋_GB2312" w:eastAsia="仿宋_GB2312" w:cs="仿宋_GB2312"/>
                                <w:b/>
                                <w:bCs/>
                                <w:sz w:val="22"/>
                                <w:szCs w:val="28"/>
                              </w:rPr>
                            </w:pPr>
                            <w:r>
                              <w:rPr>
                                <w:rFonts w:hint="eastAsia" w:ascii="黑体" w:hAnsi="黑体" w:eastAsia="黑体" w:cs="黑体"/>
                                <w:sz w:val="22"/>
                                <w:szCs w:val="28"/>
                              </w:rPr>
                              <w:t>总      编：</w:t>
                            </w:r>
                            <w:r>
                              <w:rPr>
                                <w:rFonts w:hint="eastAsia" w:ascii="楷体_GB2312" w:hAnsi="楷体_GB2312" w:eastAsia="楷体_GB2312" w:cs="楷体_GB2312"/>
                                <w:sz w:val="22"/>
                                <w:szCs w:val="28"/>
                                <w:lang w:eastAsia="zh-CN"/>
                              </w:rPr>
                              <w:t>李镒岚</w:t>
                            </w:r>
                          </w:p>
                          <w:p w14:paraId="1048E532">
                            <w:pPr>
                              <w:spacing w:line="400" w:lineRule="exact"/>
                              <w:rPr>
                                <w:rFonts w:ascii="仿宋_GB2312" w:hAnsi="仿宋_GB2312" w:eastAsia="仿宋_GB2312" w:cs="仿宋_GB2312"/>
                                <w:sz w:val="22"/>
                                <w:szCs w:val="28"/>
                              </w:rPr>
                            </w:pPr>
                          </w:p>
                          <w:p w14:paraId="55C2FFDC">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责任编</w:t>
                            </w:r>
                            <w:r>
                              <w:rPr>
                                <w:rFonts w:hint="eastAsia" w:ascii="黑体" w:hAnsi="黑体" w:eastAsia="黑体" w:cs="黑体"/>
                                <w:sz w:val="22"/>
                                <w:szCs w:val="28"/>
                              </w:rPr>
                              <w:t>辑：</w:t>
                            </w:r>
                            <w:r>
                              <w:rPr>
                                <w:rFonts w:hint="eastAsia" w:ascii="楷体_GB2312" w:hAnsi="楷体_GB2312" w:eastAsia="楷体_GB2312" w:cs="楷体_GB2312"/>
                                <w:sz w:val="22"/>
                                <w:szCs w:val="28"/>
                                <w:lang w:eastAsia="zh-CN"/>
                              </w:rPr>
                              <w:t>段守阳</w:t>
                            </w:r>
                          </w:p>
                          <w:p w14:paraId="0629884A">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封面设</w:t>
                            </w:r>
                            <w:r>
                              <w:rPr>
                                <w:rFonts w:hint="eastAsia" w:ascii="黑体" w:hAnsi="黑体" w:eastAsia="黑体" w:cs="黑体"/>
                                <w:sz w:val="22"/>
                                <w:szCs w:val="28"/>
                              </w:rPr>
                              <w:t>计：</w:t>
                            </w:r>
                            <w:r>
                              <w:rPr>
                                <w:rFonts w:hint="eastAsia" w:ascii="楷体_GB2312" w:hAnsi="楷体_GB2312" w:eastAsia="楷体_GB2312" w:cs="楷体_GB2312"/>
                                <w:sz w:val="22"/>
                                <w:szCs w:val="28"/>
                                <w:lang w:eastAsia="zh-CN"/>
                              </w:rPr>
                              <w:t>段守阳</w:t>
                            </w:r>
                          </w:p>
                          <w:p w14:paraId="3F0F8D33">
                            <w:pPr>
                              <w:spacing w:line="400" w:lineRule="exact"/>
                              <w:rPr>
                                <w:rFonts w:ascii="宋体" w:hAnsi="宋体" w:cs="宋体"/>
                                <w:spacing w:val="34"/>
                              </w:rPr>
                            </w:pPr>
                          </w:p>
                          <w:p w14:paraId="58C04372">
                            <w:pPr>
                              <w:pStyle w:val="5"/>
                              <w:spacing w:before="0" w:beforeAutospacing="0" w:after="0" w:afterAutospacing="0" w:line="400" w:lineRule="exact"/>
                            </w:pPr>
                          </w:p>
                          <w:p w14:paraId="33897C8F">
                            <w:pPr>
                              <w:spacing w:line="400" w:lineRule="exact"/>
                              <w:rPr>
                                <w:rFonts w:ascii="黑体" w:hAnsi="黑体" w:eastAsia="黑体" w:cs="黑体"/>
                                <w:sz w:val="22"/>
                                <w:szCs w:val="22"/>
                              </w:rPr>
                            </w:pPr>
                            <w:r>
                              <w:rPr>
                                <w:rFonts w:hint="eastAsia" w:ascii="黑体" w:hAnsi="黑体" w:eastAsia="黑体" w:cs="黑体"/>
                                <w:spacing w:val="34"/>
                                <w:sz w:val="22"/>
                                <w:szCs w:val="22"/>
                              </w:rPr>
                              <w:t>主管主</w:t>
                            </w:r>
                            <w:r>
                              <w:rPr>
                                <w:rFonts w:hint="eastAsia" w:ascii="黑体" w:hAnsi="黑体" w:eastAsia="黑体" w:cs="黑体"/>
                                <w:sz w:val="22"/>
                                <w:szCs w:val="22"/>
                              </w:rPr>
                              <w:t>办：</w:t>
                            </w:r>
                          </w:p>
                          <w:p w14:paraId="0C008794">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w:t>
                            </w:r>
                          </w:p>
                          <w:p w14:paraId="080396B6">
                            <w:pPr>
                              <w:spacing w:line="400" w:lineRule="exact"/>
                              <w:rPr>
                                <w:rFonts w:ascii="黑体" w:hAnsi="黑体" w:eastAsia="黑体" w:cs="黑体"/>
                                <w:sz w:val="22"/>
                                <w:szCs w:val="22"/>
                              </w:rPr>
                            </w:pPr>
                            <w:r>
                              <w:rPr>
                                <w:rFonts w:hint="eastAsia" w:ascii="黑体" w:hAnsi="黑体" w:eastAsia="黑体" w:cs="黑体"/>
                                <w:spacing w:val="34"/>
                                <w:sz w:val="22"/>
                                <w:szCs w:val="22"/>
                              </w:rPr>
                              <w:t>编辑出</w:t>
                            </w:r>
                            <w:r>
                              <w:rPr>
                                <w:rFonts w:hint="eastAsia" w:ascii="黑体" w:hAnsi="黑体" w:eastAsia="黑体" w:cs="黑体"/>
                                <w:sz w:val="22"/>
                                <w:szCs w:val="22"/>
                              </w:rPr>
                              <w:t>版：</w:t>
                            </w:r>
                          </w:p>
                          <w:p w14:paraId="571091F4">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昌江区人民政府办公室</w:t>
                            </w:r>
                          </w:p>
                          <w:p w14:paraId="1285BD29">
                            <w:pPr>
                              <w:spacing w:line="400" w:lineRule="exact"/>
                              <w:rPr>
                                <w:rFonts w:ascii="黑体" w:hAnsi="黑体" w:eastAsia="黑体" w:cs="黑体"/>
                                <w:sz w:val="22"/>
                                <w:szCs w:val="22"/>
                              </w:rPr>
                            </w:pPr>
                            <w:r>
                              <w:rPr>
                                <w:rFonts w:hint="eastAsia" w:ascii="黑体" w:hAnsi="黑体" w:eastAsia="黑体" w:cs="黑体"/>
                                <w:spacing w:val="34"/>
                                <w:sz w:val="22"/>
                                <w:szCs w:val="22"/>
                              </w:rPr>
                              <w:t>地   址：</w:t>
                            </w:r>
                          </w:p>
                          <w:p w14:paraId="1FD9CB2A">
                            <w:pPr>
                              <w:pStyle w:val="5"/>
                              <w:spacing w:after="0" w:line="400" w:lineRule="exact"/>
                              <w:rPr>
                                <w:sz w:val="22"/>
                                <w:szCs w:val="22"/>
                              </w:rPr>
                            </w:pPr>
                            <w:r>
                              <w:rPr>
                                <w:rFonts w:hint="eastAsia" w:ascii="楷体_GB2312" w:hAnsi="楷体_GB2312" w:eastAsia="楷体_GB2312" w:cs="楷体_GB2312"/>
                                <w:sz w:val="22"/>
                                <w:szCs w:val="22"/>
                              </w:rPr>
                              <w:t>景德镇市昌江区瓷都大道</w:t>
                            </w:r>
                            <w:r>
                              <w:rPr>
                                <w:rFonts w:hint="eastAsia" w:ascii="Times New Roman" w:hAnsi="Times New Roman" w:eastAsia="方正书宋_GBK"/>
                                <w:sz w:val="22"/>
                                <w:szCs w:val="22"/>
                              </w:rPr>
                              <w:t>836</w:t>
                            </w:r>
                            <w:r>
                              <w:rPr>
                                <w:rFonts w:hint="eastAsia" w:ascii="楷体_GB2312" w:hAnsi="楷体_GB2312" w:eastAsia="楷体_GB2312" w:cs="楷体_GB2312"/>
                                <w:sz w:val="22"/>
                                <w:szCs w:val="22"/>
                              </w:rPr>
                              <w:t>号</w:t>
                            </w:r>
                          </w:p>
                          <w:p w14:paraId="6C46812D">
                            <w:pPr>
                              <w:tabs>
                                <w:tab w:val="left" w:pos="1050"/>
                              </w:tabs>
                              <w:spacing w:line="400" w:lineRule="exact"/>
                              <w:rPr>
                                <w:rFonts w:ascii="Times New Roman" w:hAnsi="Times New Roman"/>
                                <w:sz w:val="22"/>
                                <w:szCs w:val="22"/>
                              </w:rPr>
                            </w:pPr>
                            <w:r>
                              <w:rPr>
                                <w:rFonts w:hint="eastAsia" w:ascii="黑体" w:hAnsi="黑体" w:eastAsia="黑体" w:cs="黑体"/>
                                <w:spacing w:val="34"/>
                                <w:sz w:val="22"/>
                                <w:szCs w:val="22"/>
                              </w:rPr>
                              <w:t>邮   编：</w:t>
                            </w:r>
                            <w:r>
                              <w:rPr>
                                <w:rFonts w:ascii="Times New Roman" w:hAnsi="Times New Roman" w:eastAsia="方正书宋_GBK"/>
                                <w:sz w:val="22"/>
                                <w:szCs w:val="22"/>
                              </w:rPr>
                              <w:t>333</w:t>
                            </w:r>
                            <w:r>
                              <w:rPr>
                                <w:rFonts w:hint="eastAsia" w:ascii="Times New Roman" w:hAnsi="Times New Roman" w:eastAsia="方正书宋_GBK"/>
                                <w:sz w:val="22"/>
                                <w:szCs w:val="22"/>
                                <w:lang w:val="en-US" w:eastAsia="zh-CN"/>
                              </w:rPr>
                              <w:t>0</w:t>
                            </w:r>
                            <w:r>
                              <w:rPr>
                                <w:rFonts w:ascii="Times New Roman" w:hAnsi="Times New Roman" w:eastAsia="方正书宋_GBK"/>
                                <w:sz w:val="22"/>
                                <w:szCs w:val="22"/>
                              </w:rPr>
                              <w:t>00</w:t>
                            </w:r>
                          </w:p>
                          <w:p w14:paraId="4D04120F">
                            <w:pPr>
                              <w:spacing w:line="400" w:lineRule="exact"/>
                              <w:rPr>
                                <w:rFonts w:ascii="黑体" w:hAnsi="黑体" w:eastAsia="黑体" w:cs="黑体"/>
                                <w:sz w:val="22"/>
                                <w:szCs w:val="22"/>
                              </w:rPr>
                            </w:pPr>
                            <w:r>
                              <w:rPr>
                                <w:rFonts w:hint="eastAsia" w:ascii="黑体" w:hAnsi="黑体" w:eastAsia="黑体" w:cs="黑体"/>
                                <w:sz w:val="22"/>
                                <w:szCs w:val="22"/>
                              </w:rPr>
                              <w:t>昌江区人民政府公报网站：</w:t>
                            </w:r>
                          </w:p>
                          <w:p w14:paraId="68E7D1FC">
                            <w:pPr>
                              <w:spacing w:line="400" w:lineRule="exact"/>
                              <w:rPr>
                                <w:rFonts w:ascii="Times New Roman" w:hAnsi="Times New Roman" w:eastAsia="方正书宋_GBK"/>
                                <w:sz w:val="22"/>
                                <w:szCs w:val="22"/>
                              </w:rPr>
                            </w:pPr>
                            <w:r>
                              <w:rPr>
                                <w:rFonts w:ascii="Times New Roman" w:hAnsi="Times New Roman" w:eastAsia="方正书宋_GBK"/>
                                <w:sz w:val="22"/>
                                <w:szCs w:val="22"/>
                              </w:rPr>
                              <w:t>http://</w:t>
                            </w:r>
                            <w:r>
                              <w:rPr>
                                <w:rFonts w:hint="eastAsia" w:ascii="Times New Roman" w:hAnsi="Times New Roman" w:eastAsia="方正书宋_GBK"/>
                                <w:sz w:val="22"/>
                                <w:szCs w:val="22"/>
                              </w:rPr>
                              <w:t>www.</w:t>
                            </w:r>
                            <w:r>
                              <w:rPr>
                                <w:rFonts w:ascii="Times New Roman" w:hAnsi="Times New Roman" w:eastAsia="方正书宋_GBK"/>
                                <w:sz w:val="22"/>
                                <w:szCs w:val="22"/>
                              </w:rPr>
                              <w:t>jdz</w:t>
                            </w:r>
                            <w:r>
                              <w:rPr>
                                <w:rFonts w:hint="eastAsia" w:ascii="Times New Roman" w:hAnsi="Times New Roman" w:eastAsia="方正书宋_GBK"/>
                                <w:sz w:val="22"/>
                                <w:szCs w:val="22"/>
                              </w:rPr>
                              <w:t>cjq</w:t>
                            </w:r>
                            <w:r>
                              <w:rPr>
                                <w:rFonts w:ascii="Times New Roman" w:hAnsi="Times New Roman" w:eastAsia="方正书宋_GBK"/>
                                <w:sz w:val="22"/>
                                <w:szCs w:val="22"/>
                              </w:rPr>
                              <w:t>.gov.cn</w:t>
                            </w:r>
                          </w:p>
                          <w:p w14:paraId="43F81FEC">
                            <w:pPr>
                              <w:spacing w:line="400" w:lineRule="exact"/>
                              <w:rPr>
                                <w:rFonts w:ascii="Times New Roman" w:hAnsi="Times New Roman" w:eastAsia="方正黑体_GBK"/>
                                <w:b/>
                                <w:bCs/>
                                <w:sz w:val="22"/>
                                <w:szCs w:val="22"/>
                              </w:rPr>
                            </w:pPr>
                            <w:r>
                              <w:rPr>
                                <w:rFonts w:hint="eastAsia" w:ascii="黑体" w:hAnsi="黑体" w:eastAsia="黑体" w:cs="黑体"/>
                                <w:sz w:val="22"/>
                                <w:szCs w:val="22"/>
                              </w:rPr>
                              <w:t>联系电话</w:t>
                            </w:r>
                            <w:r>
                              <w:rPr>
                                <w:rFonts w:ascii="黑体" w:hAnsi="黑体" w:eastAsia="黑体" w:cs="黑体"/>
                                <w:sz w:val="22"/>
                                <w:szCs w:val="22"/>
                              </w:rPr>
                              <w:t>：</w:t>
                            </w:r>
                            <w:r>
                              <w:rPr>
                                <w:rFonts w:ascii="仿宋_GB2312" w:hAnsi="仿宋_GB2312" w:eastAsia="仿宋_GB2312" w:cs="仿宋_GB2312"/>
                                <w:sz w:val="22"/>
                                <w:szCs w:val="22"/>
                              </w:rPr>
                              <w:t>（</w:t>
                            </w:r>
                            <w:r>
                              <w:rPr>
                                <w:rFonts w:ascii="Times New Roman" w:hAnsi="Times New Roman" w:eastAsia="方正书宋_GBK"/>
                                <w:sz w:val="22"/>
                                <w:szCs w:val="22"/>
                              </w:rPr>
                              <w:t>0798</w:t>
                            </w:r>
                            <w:r>
                              <w:rPr>
                                <w:rFonts w:ascii="仿宋_GB2312" w:hAnsi="仿宋_GB2312" w:eastAsia="仿宋_GB2312" w:cs="仿宋_GB2312"/>
                                <w:sz w:val="22"/>
                                <w:szCs w:val="22"/>
                              </w:rPr>
                              <w:t>）</w:t>
                            </w:r>
                            <w:r>
                              <w:rPr>
                                <w:rFonts w:ascii="Times New Roman" w:hAnsi="Times New Roman" w:eastAsia="方正书宋_GBK"/>
                                <w:sz w:val="22"/>
                                <w:szCs w:val="22"/>
                              </w:rPr>
                              <w:t>83</w:t>
                            </w:r>
                            <w:r>
                              <w:rPr>
                                <w:rFonts w:hint="eastAsia" w:ascii="Times New Roman" w:hAnsi="Times New Roman" w:eastAsia="方正书宋_GBK"/>
                                <w:sz w:val="22"/>
                                <w:szCs w:val="22"/>
                              </w:rPr>
                              <w:t>32255</w:t>
                            </w:r>
                          </w:p>
                          <w:p w14:paraId="68DAC393">
                            <w:pPr>
                              <w:spacing w:line="400" w:lineRule="exact"/>
                              <w:rPr>
                                <w:rFonts w:ascii="Times New Roman" w:hAnsi="Times New Roman"/>
                                <w:b/>
                                <w:bCs/>
                                <w:sz w:val="22"/>
                                <w:szCs w:val="22"/>
                              </w:rPr>
                            </w:pPr>
                            <w:r>
                              <w:rPr>
                                <w:rFonts w:ascii="黑体" w:hAnsi="黑体" w:eastAsia="黑体" w:cs="黑体"/>
                                <w:sz w:val="22"/>
                                <w:szCs w:val="22"/>
                              </w:rPr>
                              <w:t>投稿</w:t>
                            </w:r>
                            <w:r>
                              <w:rPr>
                                <w:rFonts w:hint="eastAsia" w:ascii="Times New Roman" w:hAnsi="Times New Roman" w:eastAsia="方正黑体_GBK"/>
                                <w:sz w:val="22"/>
                                <w:szCs w:val="22"/>
                              </w:rPr>
                              <w:t>邮</w:t>
                            </w:r>
                            <w:r>
                              <w:rPr>
                                <w:rFonts w:ascii="Times New Roman" w:hAnsi="Times New Roman" w:eastAsia="方正黑体_GBK"/>
                                <w:sz w:val="22"/>
                                <w:szCs w:val="22"/>
                              </w:rPr>
                              <w:t>箱</w:t>
                            </w:r>
                            <w:r>
                              <w:rPr>
                                <w:rFonts w:ascii="黑体" w:hAnsi="黑体" w:eastAsia="黑体" w:cs="黑体"/>
                                <w:sz w:val="22"/>
                                <w:szCs w:val="22"/>
                              </w:rPr>
                              <w:t>：</w:t>
                            </w:r>
                            <w:r>
                              <w:rPr>
                                <w:rFonts w:hint="eastAsia" w:ascii="Times New Roman" w:hAnsi="Times New Roman" w:eastAsia="方正书宋_GBK"/>
                                <w:sz w:val="22"/>
                                <w:szCs w:val="22"/>
                              </w:rPr>
                              <w:t>cjqzfb</w:t>
                            </w:r>
                            <w:r>
                              <w:rPr>
                                <w:rFonts w:ascii="Times New Roman" w:hAnsi="Times New Roman" w:eastAsia="方正书宋_GBK"/>
                                <w:sz w:val="22"/>
                                <w:szCs w:val="22"/>
                              </w:rPr>
                              <w:t>@</w:t>
                            </w:r>
                            <w:r>
                              <w:rPr>
                                <w:rFonts w:hint="eastAsia" w:ascii="Times New Roman" w:hAnsi="Times New Roman" w:eastAsia="方正书宋_GBK"/>
                                <w:sz w:val="22"/>
                                <w:szCs w:val="22"/>
                              </w:rPr>
                              <w:t>136</w:t>
                            </w:r>
                            <w:r>
                              <w:rPr>
                                <w:rFonts w:ascii="Times New Roman" w:hAnsi="Times New Roman" w:eastAsia="方正书宋_GBK"/>
                                <w:sz w:val="22"/>
                                <w:szCs w:val="22"/>
                              </w:rPr>
                              <w:t>.c</w:t>
                            </w:r>
                            <w:r>
                              <w:rPr>
                                <w:rFonts w:hint="eastAsia" w:ascii="Times New Roman" w:hAnsi="Times New Roman" w:eastAsia="方正书宋_GBK"/>
                                <w:sz w:val="22"/>
                                <w:szCs w:val="22"/>
                              </w:rPr>
                              <w:t>om</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pt;margin-top:2.15pt;height:567.85pt;width:171.95pt;z-index:251662336;mso-width-relative:page;mso-height-relative:page;" fillcolor="#FFFFFF" filled="t" stroked="t" coordsize="21600,21600" o:gfxdata="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PX1PvnXAAAACQEAAA8AAAAAAAAAAQAgAAAAIgAAAGRycy9kb3ducmV2LnhtbFBLAQIU&#10;ABQAAAAIAIdO4kD5eHAtZgIAANUEAAAOAAAAAAAAAAEAIAAAACYBAABkcnMvZTJvRG9jLnhtbFBL&#10;BQYAAAAABgAGAFkBAAD+BQAAAAA=&#10;">
                <v:fill on="t" focussize="0,0"/>
                <v:stroke weight="0.5pt" color="#FFFFFF" joinstyle="round"/>
                <v:imagedata o:title=""/>
                <o:lock v:ext="edit" aspectratio="f"/>
                <v:textbox>
                  <w:txbxContent>
                    <w:p w14:paraId="391FE24B">
                      <w:pPr>
                        <w:spacing w:line="380" w:lineRule="exact"/>
                        <w:rPr>
                          <w:rFonts w:ascii="黑体" w:hAnsi="黑体" w:eastAsia="黑体" w:cs="黑体"/>
                          <w:b/>
                          <w:bCs/>
                          <w:sz w:val="24"/>
                        </w:rPr>
                      </w:pPr>
                      <w:r>
                        <w:rPr>
                          <w:rFonts w:hint="eastAsia" w:ascii="黑体" w:hAnsi="黑体" w:eastAsia="黑体" w:cs="黑体"/>
                          <w:b/>
                          <w:bCs/>
                          <w:sz w:val="24"/>
                        </w:rPr>
                        <w:t>编 辑 委 员 会</w:t>
                      </w:r>
                    </w:p>
                    <w:p w14:paraId="4C965B67">
                      <w:pPr>
                        <w:spacing w:line="240" w:lineRule="exact"/>
                        <w:rPr>
                          <w:rFonts w:ascii="仿宋_GB2312" w:hAnsi="仿宋_GB2312" w:eastAsia="仿宋_GB2312" w:cs="仿宋_GB2312"/>
                        </w:rPr>
                      </w:pPr>
                    </w:p>
                    <w:p w14:paraId="0616E9FF">
                      <w:pPr>
                        <w:spacing w:line="400" w:lineRule="exact"/>
                        <w:rPr>
                          <w:rFonts w:hint="eastAsia" w:ascii="仿宋_GB2312" w:hAnsi="仿宋_GB2312" w:eastAsia="黑体" w:cs="仿宋_GB2312"/>
                          <w:sz w:val="22"/>
                          <w:szCs w:val="28"/>
                          <w:lang w:eastAsia="zh-CN"/>
                        </w:rPr>
                      </w:pPr>
                      <w:r>
                        <w:rPr>
                          <w:rFonts w:hint="eastAsia" w:ascii="黑体" w:hAnsi="黑体" w:eastAsia="黑体" w:cs="黑体"/>
                          <w:sz w:val="22"/>
                          <w:szCs w:val="28"/>
                        </w:rPr>
                        <w:t>主      任：</w:t>
                      </w:r>
                      <w:r>
                        <w:rPr>
                          <w:rFonts w:hint="eastAsia" w:ascii="楷体_GB2312" w:hAnsi="楷体_GB2312" w:eastAsia="楷体_GB2312" w:cs="楷体_GB2312"/>
                          <w:sz w:val="22"/>
                          <w:szCs w:val="28"/>
                          <w:lang w:eastAsia="zh-CN"/>
                        </w:rPr>
                        <w:t>李镒岚</w:t>
                      </w:r>
                    </w:p>
                    <w:p w14:paraId="16725371">
                      <w:pPr>
                        <w:spacing w:line="400" w:lineRule="exact"/>
                        <w:rPr>
                          <w:rFonts w:hint="eastAsia" w:ascii="楷体_GB2312" w:hAnsi="楷体_GB2312" w:eastAsia="黑体" w:cs="楷体_GB2312"/>
                          <w:sz w:val="22"/>
                          <w:szCs w:val="28"/>
                          <w:lang w:eastAsia="zh-CN"/>
                        </w:rPr>
                      </w:pPr>
                      <w:r>
                        <w:rPr>
                          <w:rFonts w:hint="eastAsia" w:ascii="黑体" w:hAnsi="黑体" w:eastAsia="黑体" w:cs="黑体"/>
                          <w:sz w:val="22"/>
                          <w:szCs w:val="28"/>
                        </w:rPr>
                        <w:t>副  主  任：</w:t>
                      </w:r>
                      <w:r>
                        <w:rPr>
                          <w:rFonts w:hint="eastAsia" w:ascii="楷体_GB2312" w:hAnsi="楷体_GB2312" w:eastAsia="楷体_GB2312" w:cs="楷体_GB2312"/>
                          <w:sz w:val="22"/>
                          <w:szCs w:val="28"/>
                          <w:lang w:eastAsia="zh-CN"/>
                        </w:rPr>
                        <w:t>王瀚洋</w:t>
                      </w:r>
                    </w:p>
                    <w:p w14:paraId="7C5CAA67">
                      <w:pPr>
                        <w:tabs>
                          <w:tab w:val="left" w:pos="1260"/>
                        </w:tabs>
                        <w:spacing w:line="400" w:lineRule="exact"/>
                        <w:rPr>
                          <w:rFonts w:ascii="楷体_GB2312" w:hAnsi="楷体_GB2312" w:eastAsia="楷体_GB2312" w:cs="楷体_GB2312"/>
                          <w:sz w:val="22"/>
                          <w:szCs w:val="28"/>
                        </w:rPr>
                      </w:pPr>
                      <w:r>
                        <w:rPr>
                          <w:rFonts w:hint="eastAsia" w:ascii="黑体" w:hAnsi="黑体" w:eastAsia="黑体" w:cs="黑体"/>
                          <w:sz w:val="22"/>
                          <w:szCs w:val="28"/>
                        </w:rPr>
                        <w:t>委      员：</w:t>
                      </w:r>
                      <w:r>
                        <w:rPr>
                          <w:rFonts w:hint="eastAsia" w:ascii="楷体_GB2312" w:hAnsi="楷体_GB2312" w:eastAsia="楷体_GB2312" w:cs="楷体_GB2312"/>
                          <w:sz w:val="22"/>
                          <w:szCs w:val="28"/>
                          <w:lang w:eastAsia="zh-CN"/>
                        </w:rPr>
                        <w:t>段守阳</w:t>
                      </w:r>
                      <w:r>
                        <w:rPr>
                          <w:rFonts w:hint="eastAsia" w:ascii="楷体_GB2312" w:hAnsi="楷体_GB2312" w:eastAsia="楷体_GB2312" w:cs="楷体_GB2312"/>
                          <w:sz w:val="22"/>
                          <w:szCs w:val="28"/>
                        </w:rPr>
                        <w:t xml:space="preserve">  彭  丹</w:t>
                      </w:r>
                    </w:p>
                    <w:p w14:paraId="53272984">
                      <w:pPr>
                        <w:tabs>
                          <w:tab w:val="left" w:pos="1260"/>
                        </w:tabs>
                        <w:spacing w:line="400" w:lineRule="exact"/>
                        <w:rPr>
                          <w:rFonts w:hint="eastAsia" w:ascii="楷体_GB2312" w:hAnsi="楷体_GB2312" w:eastAsia="楷体_GB2312" w:cs="楷体_GB2312"/>
                          <w:sz w:val="22"/>
                          <w:szCs w:val="28"/>
                          <w:lang w:eastAsia="zh-CN"/>
                        </w:rPr>
                      </w:pPr>
                      <w:r>
                        <w:rPr>
                          <w:rFonts w:hint="eastAsia" w:ascii="楷体_GB2312" w:hAnsi="楷体_GB2312" w:eastAsia="楷体_GB2312" w:cs="楷体_GB2312"/>
                          <w:sz w:val="22"/>
                          <w:szCs w:val="28"/>
                        </w:rPr>
                        <w:t xml:space="preserve">            郝卿雅  徐润发</w:t>
                      </w:r>
                    </w:p>
                    <w:p w14:paraId="03A2FEC2">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胡河胜</w:t>
                      </w: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汪朝斌</w:t>
                      </w:r>
                    </w:p>
                    <w:p w14:paraId="218FEF0D">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李  胜  王  炜</w:t>
                      </w:r>
                    </w:p>
                    <w:p w14:paraId="7E323FBB">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r>
                        <w:rPr>
                          <w:rFonts w:hint="eastAsia" w:ascii="楷体_GB2312" w:hAnsi="楷体_GB2312" w:eastAsia="楷体_GB2312" w:cs="楷体_GB2312"/>
                          <w:sz w:val="22"/>
                          <w:szCs w:val="28"/>
                          <w:lang w:eastAsia="zh-CN"/>
                        </w:rPr>
                        <w:t>祝平风</w:t>
                      </w:r>
                      <w:r>
                        <w:rPr>
                          <w:rFonts w:hint="eastAsia" w:ascii="楷体_GB2312" w:hAnsi="楷体_GB2312" w:eastAsia="楷体_GB2312" w:cs="楷体_GB2312"/>
                          <w:sz w:val="22"/>
                          <w:szCs w:val="28"/>
                        </w:rPr>
                        <w:t xml:space="preserve">  </w:t>
                      </w:r>
                    </w:p>
                    <w:p w14:paraId="3987BE3B">
                      <w:pPr>
                        <w:tabs>
                          <w:tab w:val="left" w:pos="1260"/>
                        </w:tabs>
                        <w:spacing w:line="400" w:lineRule="exact"/>
                        <w:rPr>
                          <w:rFonts w:ascii="楷体_GB2312" w:hAnsi="楷体_GB2312" w:eastAsia="楷体_GB2312" w:cs="楷体_GB2312"/>
                          <w:sz w:val="22"/>
                          <w:szCs w:val="28"/>
                        </w:rPr>
                      </w:pPr>
                      <w:r>
                        <w:rPr>
                          <w:rFonts w:hint="eastAsia" w:ascii="楷体_GB2312" w:hAnsi="楷体_GB2312" w:eastAsia="楷体_GB2312" w:cs="楷体_GB2312"/>
                          <w:sz w:val="22"/>
                          <w:szCs w:val="28"/>
                        </w:rPr>
                        <w:t xml:space="preserve">         </w:t>
                      </w:r>
                    </w:p>
                    <w:p w14:paraId="398679E1">
                      <w:pPr>
                        <w:spacing w:line="380" w:lineRule="exact"/>
                        <w:rPr>
                          <w:rFonts w:ascii="仿宋_GB2312" w:hAnsi="仿宋_GB2312" w:eastAsia="仿宋_GB2312" w:cs="仿宋_GB2312"/>
                          <w:b/>
                          <w:bCs/>
                          <w:sz w:val="22"/>
                          <w:szCs w:val="28"/>
                        </w:rPr>
                      </w:pPr>
                      <w:r>
                        <w:rPr>
                          <w:rFonts w:hint="eastAsia" w:ascii="黑体" w:hAnsi="黑体" w:eastAsia="黑体" w:cs="黑体"/>
                          <w:sz w:val="22"/>
                          <w:szCs w:val="28"/>
                        </w:rPr>
                        <w:t>总      编：</w:t>
                      </w:r>
                      <w:r>
                        <w:rPr>
                          <w:rFonts w:hint="eastAsia" w:ascii="楷体_GB2312" w:hAnsi="楷体_GB2312" w:eastAsia="楷体_GB2312" w:cs="楷体_GB2312"/>
                          <w:sz w:val="22"/>
                          <w:szCs w:val="28"/>
                          <w:lang w:eastAsia="zh-CN"/>
                        </w:rPr>
                        <w:t>李镒岚</w:t>
                      </w:r>
                    </w:p>
                    <w:p w14:paraId="1048E532">
                      <w:pPr>
                        <w:spacing w:line="400" w:lineRule="exact"/>
                        <w:rPr>
                          <w:rFonts w:ascii="仿宋_GB2312" w:hAnsi="仿宋_GB2312" w:eastAsia="仿宋_GB2312" w:cs="仿宋_GB2312"/>
                          <w:sz w:val="22"/>
                          <w:szCs w:val="28"/>
                        </w:rPr>
                      </w:pPr>
                    </w:p>
                    <w:p w14:paraId="55C2FFDC">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责任编</w:t>
                      </w:r>
                      <w:r>
                        <w:rPr>
                          <w:rFonts w:hint="eastAsia" w:ascii="黑体" w:hAnsi="黑体" w:eastAsia="黑体" w:cs="黑体"/>
                          <w:sz w:val="22"/>
                          <w:szCs w:val="28"/>
                        </w:rPr>
                        <w:t>辑：</w:t>
                      </w:r>
                      <w:r>
                        <w:rPr>
                          <w:rFonts w:hint="eastAsia" w:ascii="楷体_GB2312" w:hAnsi="楷体_GB2312" w:eastAsia="楷体_GB2312" w:cs="楷体_GB2312"/>
                          <w:sz w:val="22"/>
                          <w:szCs w:val="28"/>
                          <w:lang w:eastAsia="zh-CN"/>
                        </w:rPr>
                        <w:t>段守阳</w:t>
                      </w:r>
                    </w:p>
                    <w:p w14:paraId="0629884A">
                      <w:pPr>
                        <w:tabs>
                          <w:tab w:val="left" w:pos="1260"/>
                        </w:tabs>
                        <w:spacing w:line="400" w:lineRule="exact"/>
                        <w:rPr>
                          <w:rFonts w:hint="eastAsia" w:ascii="仿宋_GB2312" w:hAnsi="仿宋_GB2312" w:eastAsia="黑体" w:cs="仿宋_GB2312"/>
                          <w:b/>
                          <w:bCs/>
                          <w:sz w:val="22"/>
                          <w:szCs w:val="28"/>
                          <w:lang w:eastAsia="zh-CN"/>
                        </w:rPr>
                      </w:pPr>
                      <w:r>
                        <w:rPr>
                          <w:rFonts w:hint="eastAsia" w:ascii="黑体" w:hAnsi="黑体" w:eastAsia="黑体" w:cs="黑体"/>
                          <w:spacing w:val="34"/>
                          <w:sz w:val="22"/>
                          <w:szCs w:val="28"/>
                        </w:rPr>
                        <w:t>封面设</w:t>
                      </w:r>
                      <w:r>
                        <w:rPr>
                          <w:rFonts w:hint="eastAsia" w:ascii="黑体" w:hAnsi="黑体" w:eastAsia="黑体" w:cs="黑体"/>
                          <w:sz w:val="22"/>
                          <w:szCs w:val="28"/>
                        </w:rPr>
                        <w:t>计：</w:t>
                      </w:r>
                      <w:r>
                        <w:rPr>
                          <w:rFonts w:hint="eastAsia" w:ascii="楷体_GB2312" w:hAnsi="楷体_GB2312" w:eastAsia="楷体_GB2312" w:cs="楷体_GB2312"/>
                          <w:sz w:val="22"/>
                          <w:szCs w:val="28"/>
                          <w:lang w:eastAsia="zh-CN"/>
                        </w:rPr>
                        <w:t>段守阳</w:t>
                      </w:r>
                    </w:p>
                    <w:p w14:paraId="3F0F8D33">
                      <w:pPr>
                        <w:spacing w:line="400" w:lineRule="exact"/>
                        <w:rPr>
                          <w:rFonts w:ascii="宋体" w:hAnsi="宋体" w:cs="宋体"/>
                          <w:spacing w:val="34"/>
                        </w:rPr>
                      </w:pPr>
                    </w:p>
                    <w:p w14:paraId="58C04372">
                      <w:pPr>
                        <w:pStyle w:val="5"/>
                        <w:spacing w:before="0" w:beforeAutospacing="0" w:after="0" w:afterAutospacing="0" w:line="400" w:lineRule="exact"/>
                      </w:pPr>
                    </w:p>
                    <w:p w14:paraId="33897C8F">
                      <w:pPr>
                        <w:spacing w:line="400" w:lineRule="exact"/>
                        <w:rPr>
                          <w:rFonts w:ascii="黑体" w:hAnsi="黑体" w:eastAsia="黑体" w:cs="黑体"/>
                          <w:sz w:val="22"/>
                          <w:szCs w:val="22"/>
                        </w:rPr>
                      </w:pPr>
                      <w:r>
                        <w:rPr>
                          <w:rFonts w:hint="eastAsia" w:ascii="黑体" w:hAnsi="黑体" w:eastAsia="黑体" w:cs="黑体"/>
                          <w:spacing w:val="34"/>
                          <w:sz w:val="22"/>
                          <w:szCs w:val="22"/>
                        </w:rPr>
                        <w:t>主管主</w:t>
                      </w:r>
                      <w:r>
                        <w:rPr>
                          <w:rFonts w:hint="eastAsia" w:ascii="黑体" w:hAnsi="黑体" w:eastAsia="黑体" w:cs="黑体"/>
                          <w:sz w:val="22"/>
                          <w:szCs w:val="22"/>
                        </w:rPr>
                        <w:t>办：</w:t>
                      </w:r>
                    </w:p>
                    <w:p w14:paraId="0C008794">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w:t>
                      </w:r>
                    </w:p>
                    <w:p w14:paraId="080396B6">
                      <w:pPr>
                        <w:spacing w:line="400" w:lineRule="exact"/>
                        <w:rPr>
                          <w:rFonts w:ascii="黑体" w:hAnsi="黑体" w:eastAsia="黑体" w:cs="黑体"/>
                          <w:sz w:val="22"/>
                          <w:szCs w:val="22"/>
                        </w:rPr>
                      </w:pPr>
                      <w:r>
                        <w:rPr>
                          <w:rFonts w:hint="eastAsia" w:ascii="黑体" w:hAnsi="黑体" w:eastAsia="黑体" w:cs="黑体"/>
                          <w:spacing w:val="34"/>
                          <w:sz w:val="22"/>
                          <w:szCs w:val="22"/>
                        </w:rPr>
                        <w:t>编辑出</w:t>
                      </w:r>
                      <w:r>
                        <w:rPr>
                          <w:rFonts w:hint="eastAsia" w:ascii="黑体" w:hAnsi="黑体" w:eastAsia="黑体" w:cs="黑体"/>
                          <w:sz w:val="22"/>
                          <w:szCs w:val="22"/>
                        </w:rPr>
                        <w:t>版：</w:t>
                      </w:r>
                    </w:p>
                    <w:p w14:paraId="571091F4">
                      <w:pPr>
                        <w:spacing w:line="400" w:lineRule="exact"/>
                        <w:rPr>
                          <w:rFonts w:ascii="楷体_GB2312" w:hAnsi="楷体_GB2312" w:eastAsia="楷体_GB2312" w:cs="楷体_GB2312"/>
                          <w:sz w:val="22"/>
                          <w:szCs w:val="22"/>
                        </w:rPr>
                      </w:pPr>
                      <w:r>
                        <w:rPr>
                          <w:rFonts w:hint="eastAsia" w:ascii="楷体_GB2312" w:hAnsi="楷体_GB2312" w:eastAsia="楷体_GB2312" w:cs="楷体_GB2312"/>
                          <w:sz w:val="22"/>
                          <w:szCs w:val="22"/>
                        </w:rPr>
                        <w:t>昌江区人民政府办公室</w:t>
                      </w:r>
                    </w:p>
                    <w:p w14:paraId="1285BD29">
                      <w:pPr>
                        <w:spacing w:line="400" w:lineRule="exact"/>
                        <w:rPr>
                          <w:rFonts w:ascii="黑体" w:hAnsi="黑体" w:eastAsia="黑体" w:cs="黑体"/>
                          <w:sz w:val="22"/>
                          <w:szCs w:val="22"/>
                        </w:rPr>
                      </w:pPr>
                      <w:r>
                        <w:rPr>
                          <w:rFonts w:hint="eastAsia" w:ascii="黑体" w:hAnsi="黑体" w:eastAsia="黑体" w:cs="黑体"/>
                          <w:spacing w:val="34"/>
                          <w:sz w:val="22"/>
                          <w:szCs w:val="22"/>
                        </w:rPr>
                        <w:t>地   址：</w:t>
                      </w:r>
                    </w:p>
                    <w:p w14:paraId="1FD9CB2A">
                      <w:pPr>
                        <w:pStyle w:val="5"/>
                        <w:spacing w:after="0" w:line="400" w:lineRule="exact"/>
                        <w:rPr>
                          <w:sz w:val="22"/>
                          <w:szCs w:val="22"/>
                        </w:rPr>
                      </w:pPr>
                      <w:r>
                        <w:rPr>
                          <w:rFonts w:hint="eastAsia" w:ascii="楷体_GB2312" w:hAnsi="楷体_GB2312" w:eastAsia="楷体_GB2312" w:cs="楷体_GB2312"/>
                          <w:sz w:val="22"/>
                          <w:szCs w:val="22"/>
                        </w:rPr>
                        <w:t>景德镇市昌江区瓷都大道</w:t>
                      </w:r>
                      <w:r>
                        <w:rPr>
                          <w:rFonts w:hint="eastAsia" w:ascii="Times New Roman" w:hAnsi="Times New Roman" w:eastAsia="方正书宋_GBK"/>
                          <w:sz w:val="22"/>
                          <w:szCs w:val="22"/>
                        </w:rPr>
                        <w:t>836</w:t>
                      </w:r>
                      <w:r>
                        <w:rPr>
                          <w:rFonts w:hint="eastAsia" w:ascii="楷体_GB2312" w:hAnsi="楷体_GB2312" w:eastAsia="楷体_GB2312" w:cs="楷体_GB2312"/>
                          <w:sz w:val="22"/>
                          <w:szCs w:val="22"/>
                        </w:rPr>
                        <w:t>号</w:t>
                      </w:r>
                    </w:p>
                    <w:p w14:paraId="6C46812D">
                      <w:pPr>
                        <w:tabs>
                          <w:tab w:val="left" w:pos="1050"/>
                        </w:tabs>
                        <w:spacing w:line="400" w:lineRule="exact"/>
                        <w:rPr>
                          <w:rFonts w:ascii="Times New Roman" w:hAnsi="Times New Roman"/>
                          <w:sz w:val="22"/>
                          <w:szCs w:val="22"/>
                        </w:rPr>
                      </w:pPr>
                      <w:r>
                        <w:rPr>
                          <w:rFonts w:hint="eastAsia" w:ascii="黑体" w:hAnsi="黑体" w:eastAsia="黑体" w:cs="黑体"/>
                          <w:spacing w:val="34"/>
                          <w:sz w:val="22"/>
                          <w:szCs w:val="22"/>
                        </w:rPr>
                        <w:t>邮   编：</w:t>
                      </w:r>
                      <w:r>
                        <w:rPr>
                          <w:rFonts w:ascii="Times New Roman" w:hAnsi="Times New Roman" w:eastAsia="方正书宋_GBK"/>
                          <w:sz w:val="22"/>
                          <w:szCs w:val="22"/>
                        </w:rPr>
                        <w:t>333</w:t>
                      </w:r>
                      <w:r>
                        <w:rPr>
                          <w:rFonts w:hint="eastAsia" w:ascii="Times New Roman" w:hAnsi="Times New Roman" w:eastAsia="方正书宋_GBK"/>
                          <w:sz w:val="22"/>
                          <w:szCs w:val="22"/>
                          <w:lang w:val="en-US" w:eastAsia="zh-CN"/>
                        </w:rPr>
                        <w:t>0</w:t>
                      </w:r>
                      <w:r>
                        <w:rPr>
                          <w:rFonts w:ascii="Times New Roman" w:hAnsi="Times New Roman" w:eastAsia="方正书宋_GBK"/>
                          <w:sz w:val="22"/>
                          <w:szCs w:val="22"/>
                        </w:rPr>
                        <w:t>00</w:t>
                      </w:r>
                    </w:p>
                    <w:p w14:paraId="4D04120F">
                      <w:pPr>
                        <w:spacing w:line="400" w:lineRule="exact"/>
                        <w:rPr>
                          <w:rFonts w:ascii="黑体" w:hAnsi="黑体" w:eastAsia="黑体" w:cs="黑体"/>
                          <w:sz w:val="22"/>
                          <w:szCs w:val="22"/>
                        </w:rPr>
                      </w:pPr>
                      <w:r>
                        <w:rPr>
                          <w:rFonts w:hint="eastAsia" w:ascii="黑体" w:hAnsi="黑体" w:eastAsia="黑体" w:cs="黑体"/>
                          <w:sz w:val="22"/>
                          <w:szCs w:val="22"/>
                        </w:rPr>
                        <w:t>昌江区人民政府公报网站：</w:t>
                      </w:r>
                    </w:p>
                    <w:p w14:paraId="68E7D1FC">
                      <w:pPr>
                        <w:spacing w:line="400" w:lineRule="exact"/>
                        <w:rPr>
                          <w:rFonts w:ascii="Times New Roman" w:hAnsi="Times New Roman" w:eastAsia="方正书宋_GBK"/>
                          <w:sz w:val="22"/>
                          <w:szCs w:val="22"/>
                        </w:rPr>
                      </w:pPr>
                      <w:r>
                        <w:rPr>
                          <w:rFonts w:ascii="Times New Roman" w:hAnsi="Times New Roman" w:eastAsia="方正书宋_GBK"/>
                          <w:sz w:val="22"/>
                          <w:szCs w:val="22"/>
                        </w:rPr>
                        <w:t>http://</w:t>
                      </w:r>
                      <w:r>
                        <w:rPr>
                          <w:rFonts w:hint="eastAsia" w:ascii="Times New Roman" w:hAnsi="Times New Roman" w:eastAsia="方正书宋_GBK"/>
                          <w:sz w:val="22"/>
                          <w:szCs w:val="22"/>
                        </w:rPr>
                        <w:t>www.</w:t>
                      </w:r>
                      <w:r>
                        <w:rPr>
                          <w:rFonts w:ascii="Times New Roman" w:hAnsi="Times New Roman" w:eastAsia="方正书宋_GBK"/>
                          <w:sz w:val="22"/>
                          <w:szCs w:val="22"/>
                        </w:rPr>
                        <w:t>jdz</w:t>
                      </w:r>
                      <w:r>
                        <w:rPr>
                          <w:rFonts w:hint="eastAsia" w:ascii="Times New Roman" w:hAnsi="Times New Roman" w:eastAsia="方正书宋_GBK"/>
                          <w:sz w:val="22"/>
                          <w:szCs w:val="22"/>
                        </w:rPr>
                        <w:t>cjq</w:t>
                      </w:r>
                      <w:r>
                        <w:rPr>
                          <w:rFonts w:ascii="Times New Roman" w:hAnsi="Times New Roman" w:eastAsia="方正书宋_GBK"/>
                          <w:sz w:val="22"/>
                          <w:szCs w:val="22"/>
                        </w:rPr>
                        <w:t>.gov.cn</w:t>
                      </w:r>
                    </w:p>
                    <w:p w14:paraId="43F81FEC">
                      <w:pPr>
                        <w:spacing w:line="400" w:lineRule="exact"/>
                        <w:rPr>
                          <w:rFonts w:ascii="Times New Roman" w:hAnsi="Times New Roman" w:eastAsia="方正黑体_GBK"/>
                          <w:b/>
                          <w:bCs/>
                          <w:sz w:val="22"/>
                          <w:szCs w:val="22"/>
                        </w:rPr>
                      </w:pPr>
                      <w:r>
                        <w:rPr>
                          <w:rFonts w:hint="eastAsia" w:ascii="黑体" w:hAnsi="黑体" w:eastAsia="黑体" w:cs="黑体"/>
                          <w:sz w:val="22"/>
                          <w:szCs w:val="22"/>
                        </w:rPr>
                        <w:t>联系电话</w:t>
                      </w:r>
                      <w:r>
                        <w:rPr>
                          <w:rFonts w:ascii="黑体" w:hAnsi="黑体" w:eastAsia="黑体" w:cs="黑体"/>
                          <w:sz w:val="22"/>
                          <w:szCs w:val="22"/>
                        </w:rPr>
                        <w:t>：</w:t>
                      </w:r>
                      <w:r>
                        <w:rPr>
                          <w:rFonts w:ascii="仿宋_GB2312" w:hAnsi="仿宋_GB2312" w:eastAsia="仿宋_GB2312" w:cs="仿宋_GB2312"/>
                          <w:sz w:val="22"/>
                          <w:szCs w:val="22"/>
                        </w:rPr>
                        <w:t>（</w:t>
                      </w:r>
                      <w:r>
                        <w:rPr>
                          <w:rFonts w:ascii="Times New Roman" w:hAnsi="Times New Roman" w:eastAsia="方正书宋_GBK"/>
                          <w:sz w:val="22"/>
                          <w:szCs w:val="22"/>
                        </w:rPr>
                        <w:t>0798</w:t>
                      </w:r>
                      <w:r>
                        <w:rPr>
                          <w:rFonts w:ascii="仿宋_GB2312" w:hAnsi="仿宋_GB2312" w:eastAsia="仿宋_GB2312" w:cs="仿宋_GB2312"/>
                          <w:sz w:val="22"/>
                          <w:szCs w:val="22"/>
                        </w:rPr>
                        <w:t>）</w:t>
                      </w:r>
                      <w:r>
                        <w:rPr>
                          <w:rFonts w:ascii="Times New Roman" w:hAnsi="Times New Roman" w:eastAsia="方正书宋_GBK"/>
                          <w:sz w:val="22"/>
                          <w:szCs w:val="22"/>
                        </w:rPr>
                        <w:t>83</w:t>
                      </w:r>
                      <w:r>
                        <w:rPr>
                          <w:rFonts w:hint="eastAsia" w:ascii="Times New Roman" w:hAnsi="Times New Roman" w:eastAsia="方正书宋_GBK"/>
                          <w:sz w:val="22"/>
                          <w:szCs w:val="22"/>
                        </w:rPr>
                        <w:t>32255</w:t>
                      </w:r>
                    </w:p>
                    <w:p w14:paraId="68DAC393">
                      <w:pPr>
                        <w:spacing w:line="400" w:lineRule="exact"/>
                        <w:rPr>
                          <w:rFonts w:ascii="Times New Roman" w:hAnsi="Times New Roman"/>
                          <w:b/>
                          <w:bCs/>
                          <w:sz w:val="22"/>
                          <w:szCs w:val="22"/>
                        </w:rPr>
                      </w:pPr>
                      <w:r>
                        <w:rPr>
                          <w:rFonts w:ascii="黑体" w:hAnsi="黑体" w:eastAsia="黑体" w:cs="黑体"/>
                          <w:sz w:val="22"/>
                          <w:szCs w:val="22"/>
                        </w:rPr>
                        <w:t>投稿</w:t>
                      </w:r>
                      <w:r>
                        <w:rPr>
                          <w:rFonts w:hint="eastAsia" w:ascii="Times New Roman" w:hAnsi="Times New Roman" w:eastAsia="方正黑体_GBK"/>
                          <w:sz w:val="22"/>
                          <w:szCs w:val="22"/>
                        </w:rPr>
                        <w:t>邮</w:t>
                      </w:r>
                      <w:r>
                        <w:rPr>
                          <w:rFonts w:ascii="Times New Roman" w:hAnsi="Times New Roman" w:eastAsia="方正黑体_GBK"/>
                          <w:sz w:val="22"/>
                          <w:szCs w:val="22"/>
                        </w:rPr>
                        <w:t>箱</w:t>
                      </w:r>
                      <w:r>
                        <w:rPr>
                          <w:rFonts w:ascii="黑体" w:hAnsi="黑体" w:eastAsia="黑体" w:cs="黑体"/>
                          <w:sz w:val="22"/>
                          <w:szCs w:val="22"/>
                        </w:rPr>
                        <w:t>：</w:t>
                      </w:r>
                      <w:r>
                        <w:rPr>
                          <w:rFonts w:hint="eastAsia" w:ascii="Times New Roman" w:hAnsi="Times New Roman" w:eastAsia="方正书宋_GBK"/>
                          <w:sz w:val="22"/>
                          <w:szCs w:val="22"/>
                        </w:rPr>
                        <w:t>cjqzfb</w:t>
                      </w:r>
                      <w:r>
                        <w:rPr>
                          <w:rFonts w:ascii="Times New Roman" w:hAnsi="Times New Roman" w:eastAsia="方正书宋_GBK"/>
                          <w:sz w:val="22"/>
                          <w:szCs w:val="22"/>
                        </w:rPr>
                        <w:t>@</w:t>
                      </w:r>
                      <w:r>
                        <w:rPr>
                          <w:rFonts w:hint="eastAsia" w:ascii="Times New Roman" w:hAnsi="Times New Roman" w:eastAsia="方正书宋_GBK"/>
                          <w:sz w:val="22"/>
                          <w:szCs w:val="22"/>
                        </w:rPr>
                        <w:t>136</w:t>
                      </w:r>
                      <w:r>
                        <w:rPr>
                          <w:rFonts w:ascii="Times New Roman" w:hAnsi="Times New Roman" w:eastAsia="方正书宋_GBK"/>
                          <w:sz w:val="22"/>
                          <w:szCs w:val="22"/>
                        </w:rPr>
                        <w:t>.c</w:t>
                      </w:r>
                      <w:r>
                        <w:rPr>
                          <w:rFonts w:hint="eastAsia" w:ascii="Times New Roman" w:hAnsi="Times New Roman" w:eastAsia="方正书宋_GBK"/>
                          <w:sz w:val="22"/>
                          <w:szCs w:val="22"/>
                        </w:rPr>
                        <w:t>om</w:t>
                      </w:r>
                    </w:p>
                  </w:txbxContent>
                </v:textbox>
              </v:shape>
            </w:pict>
          </mc:Fallback>
        </mc:AlternateContent>
      </w:r>
    </w:p>
    <w:p w14:paraId="124A72D3">
      <w:pPr>
        <w:spacing w:line="240" w:lineRule="exact"/>
        <w:rPr>
          <w:rFonts w:ascii="Times New Roman" w:hAnsi="Times New Roman" w:eastAsia="微软雅黑"/>
          <w:color w:val="000000"/>
          <w:szCs w:val="21"/>
        </w:rPr>
      </w:pPr>
    </w:p>
    <w:p w14:paraId="6C743B23">
      <w:pPr>
        <w:spacing w:line="240" w:lineRule="exact"/>
        <w:rPr>
          <w:rFonts w:ascii="Times New Roman" w:hAnsi="Times New Roman" w:eastAsia="微软雅黑"/>
          <w:color w:val="000000"/>
          <w:szCs w:val="21"/>
        </w:rPr>
      </w:pPr>
    </w:p>
    <w:p w14:paraId="70E26843">
      <w:pPr>
        <w:spacing w:line="240" w:lineRule="exact"/>
        <w:rPr>
          <w:rFonts w:ascii="Times New Roman" w:hAnsi="Times New Roman" w:eastAsia="微软雅黑"/>
          <w:color w:val="000000"/>
          <w:szCs w:val="21"/>
        </w:rPr>
      </w:pPr>
    </w:p>
    <w:p w14:paraId="5B699F0F">
      <w:pPr>
        <w:spacing w:line="240" w:lineRule="exact"/>
        <w:rPr>
          <w:rFonts w:ascii="Times New Roman" w:hAnsi="Times New Roman" w:eastAsia="微软雅黑"/>
          <w:color w:val="000000"/>
          <w:szCs w:val="21"/>
        </w:rPr>
      </w:pPr>
    </w:p>
    <w:p w14:paraId="7C930B4C">
      <w:pPr>
        <w:spacing w:line="240" w:lineRule="exact"/>
        <w:rPr>
          <w:rFonts w:ascii="Times New Roman" w:hAnsi="Times New Roman" w:eastAsia="微软雅黑"/>
          <w:color w:val="000000"/>
          <w:szCs w:val="21"/>
        </w:rPr>
      </w:pPr>
    </w:p>
    <w:p w14:paraId="157360A7">
      <w:pPr>
        <w:spacing w:line="240" w:lineRule="exact"/>
        <w:rPr>
          <w:rFonts w:ascii="Times New Roman" w:hAnsi="Times New Roman" w:eastAsia="微软雅黑"/>
          <w:color w:val="000000"/>
          <w:szCs w:val="21"/>
        </w:rPr>
      </w:pPr>
    </w:p>
    <w:p w14:paraId="7E662E3B">
      <w:pPr>
        <w:spacing w:line="240" w:lineRule="exact"/>
        <w:rPr>
          <w:rFonts w:ascii="Times New Roman" w:hAnsi="Times New Roman" w:eastAsia="微软雅黑"/>
          <w:color w:val="000000"/>
          <w:szCs w:val="21"/>
        </w:rPr>
      </w:pPr>
    </w:p>
    <w:p w14:paraId="65BD7C16">
      <w:pPr>
        <w:spacing w:line="240" w:lineRule="exact"/>
        <w:rPr>
          <w:rFonts w:ascii="Times New Roman" w:hAnsi="Times New Roman" w:eastAsia="微软雅黑"/>
          <w:color w:val="000000"/>
          <w:szCs w:val="21"/>
        </w:rPr>
      </w:pPr>
    </w:p>
    <w:p w14:paraId="6C529C5A">
      <w:pPr>
        <w:spacing w:line="240" w:lineRule="exact"/>
        <w:rPr>
          <w:rFonts w:ascii="Times New Roman" w:hAnsi="Times New Roman" w:eastAsia="微软雅黑"/>
          <w:color w:val="000000"/>
          <w:szCs w:val="21"/>
        </w:rPr>
      </w:pPr>
    </w:p>
    <w:p w14:paraId="6C899053">
      <w:pPr>
        <w:spacing w:line="240" w:lineRule="exact"/>
        <w:rPr>
          <w:rFonts w:ascii="Times New Roman" w:hAnsi="Times New Roman" w:eastAsia="微软雅黑"/>
          <w:color w:val="000000"/>
          <w:szCs w:val="21"/>
        </w:rPr>
      </w:pPr>
    </w:p>
    <w:p w14:paraId="07006146">
      <w:pPr>
        <w:spacing w:line="240" w:lineRule="exact"/>
        <w:rPr>
          <w:rFonts w:ascii="Times New Roman" w:hAnsi="Times New Roman" w:eastAsia="微软雅黑"/>
          <w:color w:val="000000"/>
          <w:szCs w:val="21"/>
        </w:rPr>
      </w:pPr>
    </w:p>
    <w:p w14:paraId="31D95072">
      <w:pPr>
        <w:spacing w:line="240" w:lineRule="exact"/>
        <w:rPr>
          <w:rFonts w:ascii="Times New Roman" w:hAnsi="Times New Roman" w:eastAsia="微软雅黑"/>
          <w:color w:val="000000"/>
          <w:szCs w:val="21"/>
        </w:rPr>
      </w:pPr>
    </w:p>
    <w:p w14:paraId="3E150CC2">
      <w:pPr>
        <w:spacing w:line="240" w:lineRule="exact"/>
        <w:rPr>
          <w:rFonts w:ascii="Times New Roman" w:hAnsi="Times New Roman" w:eastAsia="微软雅黑"/>
          <w:color w:val="000000"/>
          <w:szCs w:val="21"/>
        </w:rPr>
      </w:pPr>
    </w:p>
    <w:p w14:paraId="71CEB74C">
      <w:pPr>
        <w:spacing w:line="240" w:lineRule="exact"/>
        <w:rPr>
          <w:rFonts w:ascii="Times New Roman" w:hAnsi="Times New Roman" w:eastAsia="微软雅黑"/>
          <w:color w:val="000000"/>
          <w:szCs w:val="21"/>
        </w:rPr>
      </w:pPr>
    </w:p>
    <w:p w14:paraId="62C8CC37">
      <w:pPr>
        <w:spacing w:line="240" w:lineRule="exact"/>
        <w:rPr>
          <w:rFonts w:ascii="Times New Roman" w:hAnsi="Times New Roman" w:eastAsia="微软雅黑"/>
          <w:color w:val="000000"/>
          <w:szCs w:val="21"/>
        </w:rPr>
      </w:pPr>
    </w:p>
    <w:p w14:paraId="6FEFCDEC">
      <w:pPr>
        <w:spacing w:line="240" w:lineRule="exact"/>
        <w:rPr>
          <w:rFonts w:ascii="Times New Roman" w:hAnsi="Times New Roman" w:eastAsia="微软雅黑"/>
          <w:color w:val="000000"/>
          <w:szCs w:val="21"/>
        </w:rPr>
      </w:pPr>
    </w:p>
    <w:p w14:paraId="24E54E69">
      <w:pPr>
        <w:spacing w:line="240" w:lineRule="exact"/>
        <w:rPr>
          <w:rFonts w:ascii="Times New Roman" w:hAnsi="Times New Roman" w:eastAsia="微软雅黑"/>
          <w:color w:val="000000"/>
          <w:szCs w:val="21"/>
        </w:rPr>
      </w:pPr>
    </w:p>
    <w:p w14:paraId="6F8033F3">
      <w:pPr>
        <w:spacing w:line="240" w:lineRule="exact"/>
        <w:rPr>
          <w:rFonts w:ascii="Times New Roman" w:hAnsi="Times New Roman" w:eastAsia="微软雅黑"/>
          <w:color w:val="000000"/>
          <w:szCs w:val="21"/>
        </w:rPr>
      </w:pPr>
    </w:p>
    <w:p w14:paraId="7B790078">
      <w:pPr>
        <w:spacing w:line="240" w:lineRule="exact"/>
        <w:rPr>
          <w:rFonts w:ascii="Times New Roman" w:hAnsi="Times New Roman" w:eastAsia="微软雅黑"/>
          <w:color w:val="000000"/>
          <w:szCs w:val="21"/>
        </w:rPr>
      </w:pPr>
    </w:p>
    <w:p w14:paraId="4741FB20">
      <w:pPr>
        <w:spacing w:line="240" w:lineRule="exact"/>
        <w:rPr>
          <w:rFonts w:ascii="Times New Roman" w:hAnsi="Times New Roman" w:eastAsia="微软雅黑"/>
          <w:color w:val="000000"/>
          <w:szCs w:val="21"/>
        </w:rPr>
      </w:pPr>
    </w:p>
    <w:p w14:paraId="4D61CC14">
      <w:pPr>
        <w:spacing w:line="240" w:lineRule="exact"/>
        <w:rPr>
          <w:rFonts w:ascii="Times New Roman" w:hAnsi="Times New Roman" w:eastAsia="微软雅黑"/>
          <w:color w:val="000000"/>
          <w:szCs w:val="21"/>
        </w:rPr>
      </w:pPr>
    </w:p>
    <w:p w14:paraId="2D2BB07F">
      <w:pPr>
        <w:spacing w:line="240" w:lineRule="exact"/>
        <w:rPr>
          <w:rFonts w:ascii="Times New Roman" w:hAnsi="Times New Roman" w:eastAsia="微软雅黑"/>
          <w:color w:val="000000"/>
          <w:szCs w:val="21"/>
        </w:rPr>
      </w:pPr>
    </w:p>
    <w:p w14:paraId="592E87E4">
      <w:pPr>
        <w:spacing w:line="240" w:lineRule="exact"/>
        <w:rPr>
          <w:rFonts w:ascii="Times New Roman" w:hAnsi="Times New Roman" w:eastAsia="微软雅黑"/>
          <w:color w:val="000000"/>
          <w:szCs w:val="21"/>
        </w:rPr>
      </w:pPr>
    </w:p>
    <w:p w14:paraId="3F318A05">
      <w:pPr>
        <w:spacing w:line="240" w:lineRule="exact"/>
        <w:rPr>
          <w:rFonts w:ascii="Times New Roman" w:hAnsi="Times New Roman" w:eastAsia="微软雅黑"/>
          <w:color w:val="000000"/>
          <w:szCs w:val="21"/>
        </w:rPr>
      </w:pPr>
    </w:p>
    <w:p w14:paraId="7AD40CFC">
      <w:pPr>
        <w:spacing w:line="240" w:lineRule="exact"/>
        <w:rPr>
          <w:rFonts w:ascii="Times New Roman" w:hAnsi="Times New Roman" w:eastAsia="微软雅黑"/>
          <w:color w:val="000000"/>
          <w:szCs w:val="21"/>
        </w:rPr>
      </w:pPr>
    </w:p>
    <w:p w14:paraId="158CBE23">
      <w:pPr>
        <w:spacing w:line="240" w:lineRule="exact"/>
        <w:rPr>
          <w:rFonts w:ascii="Times New Roman" w:hAnsi="Times New Roman" w:eastAsia="微软雅黑"/>
          <w:color w:val="000000"/>
          <w:szCs w:val="21"/>
        </w:rPr>
      </w:pPr>
    </w:p>
    <w:p w14:paraId="252FE91A">
      <w:pPr>
        <w:spacing w:line="240" w:lineRule="exact"/>
        <w:rPr>
          <w:rFonts w:ascii="Times New Roman" w:hAnsi="Times New Roman" w:eastAsia="微软雅黑"/>
          <w:color w:val="000000"/>
          <w:szCs w:val="21"/>
        </w:rPr>
      </w:pPr>
    </w:p>
    <w:p w14:paraId="324D93F1">
      <w:pPr>
        <w:spacing w:line="240" w:lineRule="exact"/>
        <w:rPr>
          <w:rFonts w:ascii="Times New Roman" w:hAnsi="Times New Roman" w:eastAsia="微软雅黑"/>
          <w:color w:val="000000"/>
          <w:szCs w:val="21"/>
        </w:rPr>
      </w:pPr>
    </w:p>
    <w:p w14:paraId="0A02C80A">
      <w:pPr>
        <w:spacing w:line="240" w:lineRule="exact"/>
        <w:rPr>
          <w:rFonts w:ascii="Times New Roman" w:hAnsi="Times New Roman" w:eastAsia="微软雅黑"/>
          <w:color w:val="000000"/>
          <w:szCs w:val="21"/>
        </w:rPr>
      </w:pPr>
    </w:p>
    <w:p w14:paraId="06DE4C3D">
      <w:pPr>
        <w:spacing w:line="240" w:lineRule="exact"/>
        <w:rPr>
          <w:rFonts w:ascii="Times New Roman" w:hAnsi="Times New Roman" w:eastAsia="微软雅黑"/>
          <w:color w:val="000000"/>
          <w:szCs w:val="21"/>
        </w:rPr>
      </w:pPr>
    </w:p>
    <w:p w14:paraId="4DEC9F43">
      <w:pPr>
        <w:spacing w:line="240" w:lineRule="exact"/>
        <w:rPr>
          <w:rFonts w:ascii="Times New Roman" w:hAnsi="Times New Roman" w:eastAsia="微软雅黑"/>
          <w:color w:val="000000"/>
          <w:szCs w:val="21"/>
        </w:rPr>
      </w:pPr>
    </w:p>
    <w:p w14:paraId="49F01784">
      <w:pPr>
        <w:spacing w:line="240" w:lineRule="exact"/>
        <w:rPr>
          <w:rFonts w:ascii="Times New Roman" w:hAnsi="Times New Roman" w:eastAsia="微软雅黑"/>
          <w:color w:val="000000"/>
          <w:szCs w:val="21"/>
        </w:rPr>
      </w:pPr>
    </w:p>
    <w:p w14:paraId="6C02F41B">
      <w:pPr>
        <w:spacing w:line="240" w:lineRule="exact"/>
        <w:rPr>
          <w:rFonts w:ascii="Times New Roman" w:hAnsi="Times New Roman" w:eastAsia="微软雅黑"/>
          <w:color w:val="000000"/>
          <w:szCs w:val="21"/>
        </w:rPr>
      </w:pPr>
    </w:p>
    <w:p w14:paraId="4DC01FC8">
      <w:pPr>
        <w:spacing w:line="240" w:lineRule="exact"/>
        <w:rPr>
          <w:rFonts w:ascii="Times New Roman" w:hAnsi="Times New Roman" w:eastAsia="微软雅黑"/>
          <w:color w:val="000000"/>
          <w:szCs w:val="21"/>
        </w:rPr>
      </w:pPr>
    </w:p>
    <w:p w14:paraId="34061A7C">
      <w:pPr>
        <w:spacing w:line="240" w:lineRule="exact"/>
        <w:rPr>
          <w:rFonts w:ascii="Times New Roman" w:hAnsi="Times New Roman" w:eastAsia="微软雅黑"/>
          <w:color w:val="000000"/>
          <w:szCs w:val="21"/>
        </w:rPr>
      </w:pPr>
    </w:p>
    <w:p w14:paraId="60C7A8AA">
      <w:pPr>
        <w:spacing w:line="240" w:lineRule="exact"/>
        <w:rPr>
          <w:rFonts w:ascii="Times New Roman" w:hAnsi="Times New Roman" w:eastAsia="微软雅黑"/>
          <w:color w:val="000000"/>
          <w:szCs w:val="21"/>
        </w:rPr>
      </w:pPr>
    </w:p>
    <w:p w14:paraId="1C9EF676">
      <w:pPr>
        <w:spacing w:line="240" w:lineRule="exact"/>
        <w:rPr>
          <w:rFonts w:ascii="Times New Roman" w:hAnsi="Times New Roman" w:eastAsia="微软雅黑"/>
          <w:color w:val="000000"/>
          <w:szCs w:val="21"/>
        </w:rPr>
      </w:pPr>
    </w:p>
    <w:p w14:paraId="596AC092">
      <w:pPr>
        <w:spacing w:line="240" w:lineRule="exact"/>
        <w:rPr>
          <w:rFonts w:ascii="Times New Roman" w:hAnsi="Times New Roman" w:eastAsia="微软雅黑"/>
          <w:color w:val="000000"/>
          <w:szCs w:val="21"/>
        </w:rPr>
      </w:pPr>
    </w:p>
    <w:p w14:paraId="49F26BDD">
      <w:pPr>
        <w:spacing w:line="240" w:lineRule="exact"/>
        <w:rPr>
          <w:rFonts w:ascii="Times New Roman" w:hAnsi="Times New Roman" w:eastAsia="微软雅黑"/>
          <w:color w:val="000000"/>
          <w:szCs w:val="21"/>
        </w:rPr>
      </w:pPr>
    </w:p>
    <w:p w14:paraId="02340B5B">
      <w:pPr>
        <w:spacing w:line="240" w:lineRule="exact"/>
        <w:rPr>
          <w:rFonts w:ascii="Times New Roman" w:hAnsi="Times New Roman" w:eastAsia="微软雅黑"/>
          <w:color w:val="000000"/>
          <w:szCs w:val="21"/>
        </w:rPr>
      </w:pPr>
    </w:p>
    <w:p w14:paraId="0648C133">
      <w:pPr>
        <w:spacing w:line="240" w:lineRule="exact"/>
        <w:rPr>
          <w:rFonts w:ascii="Times New Roman" w:hAnsi="Times New Roman" w:eastAsia="微软雅黑"/>
          <w:color w:val="000000"/>
          <w:szCs w:val="21"/>
        </w:rPr>
      </w:pPr>
    </w:p>
    <w:p w14:paraId="3DEE46FB">
      <w:pPr>
        <w:spacing w:line="240" w:lineRule="exact"/>
        <w:rPr>
          <w:rFonts w:ascii="Times New Roman" w:hAnsi="Times New Roman" w:eastAsia="微软雅黑"/>
          <w:color w:val="000000"/>
          <w:szCs w:val="21"/>
        </w:rPr>
      </w:pPr>
    </w:p>
    <w:p w14:paraId="61CDFEC7">
      <w:pPr>
        <w:spacing w:line="240" w:lineRule="exact"/>
        <w:rPr>
          <w:rFonts w:ascii="Times New Roman" w:hAnsi="Times New Roman" w:eastAsia="微软雅黑"/>
          <w:color w:val="000000"/>
          <w:szCs w:val="21"/>
        </w:rPr>
      </w:pPr>
    </w:p>
    <w:p w14:paraId="7E7618BE">
      <w:pPr>
        <w:pStyle w:val="26"/>
        <w:spacing w:after="0" w:line="598" w:lineRule="exact"/>
        <w:ind w:firstLine="0"/>
        <w:jc w:val="center"/>
        <w:rPr>
          <w:b/>
          <w:bCs/>
          <w:color w:val="000000"/>
          <w:sz w:val="44"/>
          <w:szCs w:val="44"/>
          <w:lang w:eastAsia="zh-CN"/>
        </w:rPr>
        <w:sectPr>
          <w:headerReference r:id="rId10" w:type="default"/>
          <w:footerReference r:id="rId12" w:type="default"/>
          <w:headerReference r:id="rId11" w:type="even"/>
          <w:footerReference r:id="rId13" w:type="even"/>
          <w:type w:val="continuous"/>
          <w:pgSz w:w="11906" w:h="16838"/>
          <w:pgMar w:top="1440" w:right="1083" w:bottom="1440" w:left="1083" w:header="851" w:footer="992" w:gutter="0"/>
          <w:pgNumType w:fmt="decimal"/>
          <w:cols w:space="425" w:num="1"/>
          <w:docGrid w:type="lines" w:linePitch="312" w:charSpace="0"/>
        </w:sectPr>
      </w:pPr>
    </w:p>
    <w:p w14:paraId="2CE812C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52"/>
          <w:lang w:eastAsia="zh-CN"/>
        </w:rPr>
        <w:sectPr>
          <w:headerReference r:id="rId14" w:type="default"/>
          <w:footerReference r:id="rId16" w:type="default"/>
          <w:headerReference r:id="rId15" w:type="even"/>
          <w:footerReference r:id="rId17" w:type="even"/>
          <w:type w:val="continuous"/>
          <w:pgSz w:w="11906" w:h="16838"/>
          <w:pgMar w:top="1440" w:right="1417" w:bottom="1440" w:left="1417" w:header="851" w:footer="992" w:gutter="0"/>
          <w:pgNumType w:fmt="decimal"/>
          <w:cols w:space="425" w:num="1"/>
          <w:rtlGutter w:val="0"/>
          <w:docGrid w:type="lines" w:linePitch="312" w:charSpace="0"/>
        </w:sectPr>
      </w:pPr>
      <w:r>
        <w:rPr>
          <w:rFonts w:hint="eastAsia" w:ascii="方正小标宋简体" w:hAnsi="方正小标宋简体" w:eastAsia="方正小标宋简体" w:cs="方正小标宋简体"/>
          <w:sz w:val="44"/>
          <w:szCs w:val="52"/>
          <w:lang w:eastAsia="zh-CN"/>
        </w:rPr>
        <w:t>昌江区政府</w:t>
      </w:r>
    </w:p>
    <w:p w14:paraId="1EEE2EC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关于印发《</w:t>
      </w:r>
      <w:r>
        <w:rPr>
          <w:rFonts w:hint="eastAsia" w:ascii="方正小标宋简体" w:hAnsi="方正小标宋简体" w:eastAsia="方正小标宋简体" w:cs="方正小标宋简体"/>
          <w:b w:val="0"/>
          <w:bCs/>
          <w:sz w:val="44"/>
          <w:szCs w:val="44"/>
        </w:rPr>
        <w:t>关于推动“引客入昌江”的旅游</w:t>
      </w:r>
    </w:p>
    <w:p w14:paraId="11C4673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rPr>
        <w:t>发展奖励办法</w:t>
      </w:r>
      <w:r>
        <w:rPr>
          <w:rFonts w:hint="eastAsia" w:ascii="方正小标宋简体" w:hAnsi="方正小标宋简体" w:eastAsia="方正小标宋简体" w:cs="方正小标宋简体"/>
          <w:b w:val="0"/>
          <w:bCs/>
          <w:sz w:val="44"/>
          <w:szCs w:val="44"/>
          <w:lang w:val="en-US" w:eastAsia="zh-CN"/>
        </w:rPr>
        <w:t>》的通知</w:t>
      </w:r>
    </w:p>
    <w:p w14:paraId="7DE4BF97">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rPr>
      </w:pPr>
    </w:p>
    <w:p w14:paraId="360E769F">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各乡（镇）人民政府、街道办事处，区政府各部门，区直各单位：</w:t>
      </w:r>
    </w:p>
    <w:p w14:paraId="63C21A91">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现将《关于推动“引客入昌江”的旅游发展奖励办法》印发给你们，请认真贯彻落实。</w:t>
      </w:r>
    </w:p>
    <w:p w14:paraId="03ABE644">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p>
    <w:p w14:paraId="18B00C31">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p>
    <w:p w14:paraId="178874E4">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昌江区人民政府办公室</w:t>
      </w:r>
    </w:p>
    <w:p w14:paraId="1DB65CE6">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2024年5月15日</w:t>
      </w:r>
    </w:p>
    <w:p w14:paraId="03D0DE43">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仿宋" w:hAnsi="仿宋" w:eastAsia="仿宋" w:cs="仿宋"/>
          <w:sz w:val="32"/>
          <w:szCs w:val="32"/>
        </w:rPr>
      </w:pPr>
    </w:p>
    <w:p w14:paraId="64C8117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rPr>
      </w:pPr>
    </w:p>
    <w:p w14:paraId="7CDF942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rPr>
      </w:pPr>
    </w:p>
    <w:p w14:paraId="6AEB4F8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rPr>
      </w:pPr>
    </w:p>
    <w:p w14:paraId="3826D31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rPr>
      </w:pPr>
    </w:p>
    <w:p w14:paraId="5F8F6EF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rPr>
      </w:pPr>
    </w:p>
    <w:p w14:paraId="105E0B9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rPr>
      </w:pPr>
    </w:p>
    <w:p w14:paraId="6021CE2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rPr>
      </w:pPr>
    </w:p>
    <w:p w14:paraId="162C49B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rPr>
      </w:pPr>
    </w:p>
    <w:p w14:paraId="4477F5D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rPr>
      </w:pPr>
    </w:p>
    <w:p w14:paraId="62A870F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rPr>
      </w:pPr>
    </w:p>
    <w:p w14:paraId="79E8DE0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rPr>
      </w:pPr>
    </w:p>
    <w:p w14:paraId="6A8DF6E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关于推动“引客入昌江”的旅游</w:t>
      </w:r>
    </w:p>
    <w:p w14:paraId="59A91778">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仿宋" w:hAnsi="仿宋" w:eastAsia="仿宋" w:cs="仿宋"/>
          <w:sz w:val="32"/>
          <w:szCs w:val="32"/>
        </w:rPr>
      </w:pPr>
      <w:r>
        <w:rPr>
          <w:rFonts w:hint="eastAsia" w:ascii="方正小标宋简体" w:hAnsi="方正小标宋简体" w:eastAsia="方正小标宋简体" w:cs="方正小标宋简体"/>
          <w:b w:val="0"/>
          <w:bCs/>
          <w:sz w:val="44"/>
          <w:szCs w:val="44"/>
        </w:rPr>
        <w:t>发展奖励办法</w:t>
      </w:r>
    </w:p>
    <w:p w14:paraId="7619EEF2">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z w:val="32"/>
          <w:szCs w:val="32"/>
        </w:rPr>
      </w:pPr>
    </w:p>
    <w:p w14:paraId="355862F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昌江区作为国家全域旅游示范区，在疫情逐步恢复的契机下，为落实好省政府办公厅《关于进一步帮扶文旅企业纾困发展若干措施的通知》文件精神，大力繁荣和拉动区内的文旅消费。我区全域旅游集散中心已于2022年5月19日正式运营，在结合市、区两级制定的《关于促进旅游产业高质量发展的意见（试行）》文件基础上，为加大“引客入赣”、“引客入昌江”的力度，促进各大旅行商及涉旅企业积极推介并组织游客来昌江区旅游，提振我区文旅消费，特拟定以下旅游奖励办法：</w:t>
      </w:r>
    </w:p>
    <w:p w14:paraId="22F4082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eastAsia="仿宋_GB2312" w:hAnsiTheme="minorHAnsi" w:cstheme="minorBidi"/>
          <w:kern w:val="2"/>
          <w:sz w:val="32"/>
          <w:szCs w:val="32"/>
          <w:lang w:val="en-US" w:eastAsia="zh-CN" w:bidi="ar-SA"/>
        </w:rPr>
      </w:pPr>
      <w:r>
        <w:rPr>
          <w:rFonts w:hint="eastAsia" w:ascii="黑体" w:hAnsi="黑体" w:eastAsia="黑体" w:cs="黑体"/>
          <w:sz w:val="32"/>
          <w:szCs w:val="32"/>
        </w:rPr>
        <w:t>一、政策有效时段：</w:t>
      </w:r>
      <w:r>
        <w:rPr>
          <w:rFonts w:hint="eastAsia" w:ascii="仿宋_GB2312" w:eastAsia="仿宋_GB2312" w:hAnsiTheme="minorHAnsi" w:cstheme="minorBidi"/>
          <w:kern w:val="2"/>
          <w:sz w:val="32"/>
          <w:szCs w:val="32"/>
          <w:lang w:val="en-US" w:eastAsia="zh-CN" w:bidi="ar-SA"/>
        </w:rPr>
        <w:t>2024年度、2025年度</w:t>
      </w:r>
    </w:p>
    <w:p w14:paraId="1A29F98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 w:hAnsi="仿宋" w:eastAsia="仿宋" w:cs="仿宋"/>
          <w:sz w:val="32"/>
          <w:szCs w:val="32"/>
          <w:lang w:eastAsia="zh-CN"/>
        </w:rPr>
      </w:pPr>
      <w:r>
        <w:rPr>
          <w:rFonts w:hint="eastAsia" w:ascii="黑体" w:hAnsi="黑体" w:eastAsia="黑体" w:cs="黑体"/>
          <w:sz w:val="32"/>
          <w:szCs w:val="32"/>
        </w:rPr>
        <w:t>二、奖励对象：</w:t>
      </w:r>
      <w:r>
        <w:rPr>
          <w:rFonts w:hint="eastAsia" w:ascii="仿宋_GB2312" w:eastAsia="仿宋_GB2312" w:hAnsiTheme="minorHAnsi" w:cstheme="minorBidi"/>
          <w:kern w:val="2"/>
          <w:sz w:val="32"/>
          <w:szCs w:val="32"/>
          <w:lang w:val="en-US" w:eastAsia="zh-CN" w:bidi="ar-SA"/>
        </w:rPr>
        <w:t>在昌江区注册的旅行社及省内外以昌江区旅游为目的地的合法经营旅行商（鼓励各旅行商成立联盟体），且与昌江区文旅局签订合作协议。</w:t>
      </w:r>
    </w:p>
    <w:p w14:paraId="27A4BC0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三、奖励政策范围及标准：</w:t>
      </w:r>
    </w:p>
    <w:p w14:paraId="7260745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1、奖励资金主要用于奖励旅行社组织外地游客（不含本市）来昌江区进行“吃、住、行、游、购、娱 ”的旅游活动。期间组织的市外游客须全年达到1万人次以上（或每季度2500人次以上）且符合本办法制定的各项标准。</w:t>
      </w:r>
    </w:p>
    <w:p w14:paraId="3A8B1A2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区域内景点：古窑民俗博览区、景德镇中国陶瓷博物馆、昌南里景区、宁封窑景区、荷塘乡景区、江西直升机科技馆、</w:t>
      </w:r>
    </w:p>
    <w:p w14:paraId="53256DA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60" w:lineRule="exact"/>
        <w:textAlignment w:val="baseline"/>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大梦瓷谷景区、陶博城。</w:t>
      </w:r>
    </w:p>
    <w:p w14:paraId="54B1ED01">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Autospacing="0" w:after="0" w:afterAutospacing="0" w:line="560" w:lineRule="exact"/>
        <w:ind w:firstLine="640" w:firstLineChars="200"/>
        <w:textAlignment w:val="baseline"/>
        <w:rPr>
          <w:rFonts w:hint="eastAsia" w:ascii="仿宋_GB2312" w:eastAsia="仿宋_GB2312" w:hAnsiTheme="minorHAnsi" w:cstheme="minorBidi"/>
          <w:kern w:val="2"/>
          <w:sz w:val="32"/>
          <w:szCs w:val="32"/>
          <w:lang w:val="en-US" w:eastAsia="en-US" w:bidi="ar-SA"/>
        </w:rPr>
      </w:pPr>
      <w:r>
        <w:rPr>
          <w:rFonts w:hint="eastAsia" w:ascii="仿宋_GB2312" w:eastAsia="仿宋_GB2312" w:hAnsiTheme="minorHAnsi" w:cstheme="minorBidi"/>
          <w:kern w:val="2"/>
          <w:sz w:val="32"/>
          <w:szCs w:val="32"/>
          <w:lang w:val="en-US" w:eastAsia="zh-CN" w:bidi="ar-SA"/>
        </w:rPr>
        <w:t>2、</w:t>
      </w:r>
      <w:r>
        <w:rPr>
          <w:rFonts w:hint="eastAsia" w:ascii="仿宋_GB2312" w:eastAsia="仿宋_GB2312" w:hAnsiTheme="minorHAnsi" w:cstheme="minorBidi"/>
          <w:kern w:val="2"/>
          <w:sz w:val="32"/>
          <w:szCs w:val="32"/>
          <w:lang w:val="en-US" w:eastAsia="en-US" w:bidi="ar-SA"/>
        </w:rPr>
        <w:t>奖励细则及标准</w:t>
      </w:r>
    </w:p>
    <w:p w14:paraId="4B71BB3B">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Autospacing="0" w:after="0" w:afterAutospacing="0" w:line="560" w:lineRule="exact"/>
        <w:ind w:firstLine="640" w:firstLineChars="200"/>
        <w:textAlignment w:val="baseline"/>
        <w:rPr>
          <w:rFonts w:hint="eastAsia" w:ascii="仿宋_GB2312" w:eastAsia="仿宋_GB2312" w:hAnsiTheme="minorHAnsi" w:cstheme="minorBidi"/>
          <w:kern w:val="2"/>
          <w:sz w:val="32"/>
          <w:szCs w:val="32"/>
          <w:lang w:val="en-US" w:eastAsia="en-US" w:bidi="ar-SA"/>
        </w:rPr>
      </w:pPr>
      <w:r>
        <w:rPr>
          <w:rFonts w:hint="eastAsia" w:ascii="仿宋_GB2312" w:eastAsia="仿宋_GB2312" w:hAnsiTheme="minorHAnsi" w:cstheme="minorBidi"/>
          <w:kern w:val="2"/>
          <w:sz w:val="32"/>
          <w:szCs w:val="32"/>
          <w:lang w:val="en-US" w:eastAsia="en-US" w:bidi="ar-SA"/>
        </w:rPr>
        <w:t>A、旅游团队奖励。凡旅行社组织来昌江区旅游的团</w:t>
      </w:r>
      <w:r>
        <w:rPr>
          <w:rFonts w:hint="eastAsia" w:ascii="仿宋_GB2312" w:eastAsia="仿宋_GB2312" w:hAnsiTheme="minorHAnsi" w:cstheme="minorBidi"/>
          <w:kern w:val="2"/>
          <w:sz w:val="32"/>
          <w:szCs w:val="32"/>
          <w:lang w:val="en-US" w:eastAsia="zh-CN" w:bidi="ar-SA"/>
        </w:rPr>
        <w:t>队，</w:t>
      </w:r>
      <w:r>
        <w:rPr>
          <w:rFonts w:hint="eastAsia" w:ascii="仿宋_GB2312" w:eastAsia="仿宋_GB2312" w:hAnsiTheme="minorHAnsi" w:cstheme="minorBidi"/>
          <w:kern w:val="2"/>
          <w:sz w:val="32"/>
          <w:szCs w:val="32"/>
          <w:lang w:val="en-US" w:eastAsia="en-US" w:bidi="ar-SA"/>
        </w:rPr>
        <w:t>游览</w:t>
      </w:r>
      <w:r>
        <w:rPr>
          <w:rFonts w:hint="eastAsia" w:ascii="仿宋_GB2312" w:eastAsia="仿宋_GB2312" w:hAnsiTheme="minorHAnsi" w:cstheme="minorBidi"/>
          <w:kern w:val="2"/>
          <w:sz w:val="32"/>
          <w:szCs w:val="32"/>
          <w:lang w:val="en-US" w:eastAsia="zh-CN" w:bidi="ar-SA"/>
        </w:rPr>
        <w:t>2</w:t>
      </w:r>
      <w:r>
        <w:rPr>
          <w:rFonts w:hint="eastAsia" w:ascii="仿宋_GB2312" w:eastAsia="仿宋_GB2312" w:hAnsiTheme="minorHAnsi" w:cstheme="minorBidi"/>
          <w:kern w:val="2"/>
          <w:sz w:val="32"/>
          <w:szCs w:val="32"/>
          <w:lang w:val="en-US" w:eastAsia="en-US" w:bidi="ar-SA"/>
        </w:rPr>
        <w:t>个以上景区，且一次性组织游客不少于 30 名（含</w:t>
      </w:r>
      <w:r>
        <w:rPr>
          <w:rFonts w:hint="eastAsia" w:ascii="仿宋_GB2312" w:eastAsia="仿宋_GB2312" w:hAnsiTheme="minorHAnsi"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en-US" w:bidi="ar-SA"/>
        </w:rPr>
        <w:t>的</w:t>
      </w:r>
      <w:r>
        <w:rPr>
          <w:rFonts w:hint="eastAsia" w:ascii="仿宋_GB2312" w:eastAsia="仿宋_GB2312" w:hAnsiTheme="minorHAnsi" w:cstheme="minorBidi"/>
          <w:kern w:val="2"/>
          <w:sz w:val="32"/>
          <w:szCs w:val="32"/>
          <w:lang w:val="en-US" w:eastAsia="zh-CN" w:bidi="ar-SA"/>
        </w:rPr>
        <w:t>，</w:t>
      </w:r>
      <w:r>
        <w:rPr>
          <w:rFonts w:hint="eastAsia" w:ascii="仿宋_GB2312" w:eastAsia="仿宋_GB2312" w:hAnsiTheme="minorHAnsi" w:cstheme="minorBidi"/>
          <w:kern w:val="2"/>
          <w:sz w:val="32"/>
          <w:szCs w:val="32"/>
          <w:lang w:val="en-US" w:eastAsia="en-US" w:bidi="ar-SA"/>
        </w:rPr>
        <w:t>给予</w:t>
      </w:r>
      <w:r>
        <w:rPr>
          <w:rFonts w:hint="eastAsia" w:ascii="仿宋_GB2312" w:eastAsia="仿宋_GB2312" w:hAnsiTheme="minorHAnsi" w:cstheme="minorBidi"/>
          <w:kern w:val="2"/>
          <w:sz w:val="32"/>
          <w:szCs w:val="32"/>
          <w:lang w:val="en-US" w:eastAsia="zh-CN" w:bidi="ar-SA"/>
        </w:rPr>
        <w:t>20</w:t>
      </w:r>
      <w:r>
        <w:rPr>
          <w:rFonts w:hint="eastAsia" w:ascii="仿宋_GB2312" w:eastAsia="仿宋_GB2312" w:hAnsiTheme="minorHAnsi" w:cstheme="minorBidi"/>
          <w:kern w:val="2"/>
          <w:sz w:val="32"/>
          <w:szCs w:val="32"/>
          <w:lang w:val="en-US" w:eastAsia="en-US" w:bidi="ar-SA"/>
        </w:rPr>
        <w:t>元/人的奖补；如住宿</w:t>
      </w:r>
      <w:r>
        <w:rPr>
          <w:rFonts w:hint="eastAsia" w:ascii="仿宋_GB2312" w:eastAsia="仿宋_GB2312" w:hAnsiTheme="minorHAnsi" w:cstheme="minorBidi"/>
          <w:kern w:val="2"/>
          <w:sz w:val="32"/>
          <w:szCs w:val="32"/>
          <w:lang w:val="en-US" w:eastAsia="zh-CN" w:bidi="ar-SA"/>
        </w:rPr>
        <w:t>1</w:t>
      </w:r>
      <w:r>
        <w:rPr>
          <w:rFonts w:hint="eastAsia" w:ascii="仿宋_GB2312" w:eastAsia="仿宋_GB2312" w:hAnsiTheme="minorHAnsi" w:cstheme="minorBidi"/>
          <w:kern w:val="2"/>
          <w:sz w:val="32"/>
          <w:szCs w:val="32"/>
          <w:lang w:val="en-US" w:eastAsia="en-US" w:bidi="ar-SA"/>
        </w:rPr>
        <w:t>晚并游览 3 个以上景</w:t>
      </w:r>
      <w:r>
        <w:rPr>
          <w:rFonts w:hint="eastAsia" w:ascii="仿宋_GB2312" w:eastAsia="仿宋_GB2312" w:hAnsiTheme="minorHAnsi" w:cstheme="minorBidi"/>
          <w:kern w:val="2"/>
          <w:sz w:val="32"/>
          <w:szCs w:val="32"/>
          <w:lang w:val="en-US" w:eastAsia="zh-CN" w:bidi="ar-SA"/>
        </w:rPr>
        <w:t>区，</w:t>
      </w:r>
      <w:r>
        <w:rPr>
          <w:rFonts w:hint="eastAsia" w:ascii="仿宋_GB2312" w:eastAsia="仿宋_GB2312" w:hAnsiTheme="minorHAnsi" w:cstheme="minorBidi"/>
          <w:kern w:val="2"/>
          <w:sz w:val="32"/>
          <w:szCs w:val="32"/>
          <w:lang w:val="en-US" w:eastAsia="en-US" w:bidi="ar-SA"/>
        </w:rPr>
        <w:t>在享受本项政策的基础上再增加</w:t>
      </w:r>
      <w:r>
        <w:rPr>
          <w:rFonts w:hint="eastAsia" w:ascii="仿宋_GB2312" w:eastAsia="仿宋_GB2312" w:hAnsiTheme="minorHAnsi" w:cstheme="minorBidi"/>
          <w:kern w:val="2"/>
          <w:sz w:val="32"/>
          <w:szCs w:val="32"/>
          <w:lang w:val="en-US" w:eastAsia="zh-CN" w:bidi="ar-SA"/>
        </w:rPr>
        <w:t>20</w:t>
      </w:r>
      <w:r>
        <w:rPr>
          <w:rFonts w:hint="eastAsia" w:ascii="仿宋_GB2312" w:eastAsia="仿宋_GB2312" w:hAnsiTheme="minorHAnsi" w:cstheme="minorBidi"/>
          <w:kern w:val="2"/>
          <w:sz w:val="32"/>
          <w:szCs w:val="32"/>
          <w:lang w:val="en-US" w:eastAsia="en-US" w:bidi="ar-SA"/>
        </w:rPr>
        <w:t>元/人的奖补；鼓励团队在景区周边用餐，经认定后可在享受本项政策的基础上再增加</w:t>
      </w:r>
      <w:r>
        <w:rPr>
          <w:rFonts w:hint="eastAsia" w:ascii="仿宋_GB2312" w:eastAsia="仿宋_GB2312" w:hAnsiTheme="minorHAnsi" w:cstheme="minorBidi"/>
          <w:kern w:val="2"/>
          <w:sz w:val="32"/>
          <w:szCs w:val="32"/>
          <w:lang w:val="en-US" w:eastAsia="zh-CN" w:bidi="ar-SA"/>
        </w:rPr>
        <w:t>10</w:t>
      </w:r>
      <w:r>
        <w:rPr>
          <w:rFonts w:hint="eastAsia" w:ascii="仿宋_GB2312" w:eastAsia="仿宋_GB2312" w:hAnsiTheme="minorHAnsi" w:cstheme="minorBidi"/>
          <w:kern w:val="2"/>
          <w:sz w:val="32"/>
          <w:szCs w:val="32"/>
          <w:lang w:val="en-US" w:eastAsia="en-US" w:bidi="ar-SA"/>
        </w:rPr>
        <w:t>元/人的奖补。</w:t>
      </w:r>
    </w:p>
    <w:p w14:paraId="6DEC6BC2">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Autospacing="0" w:after="0" w:afterAutospacing="0" w:line="560" w:lineRule="exact"/>
        <w:ind w:firstLine="640" w:firstLineChars="200"/>
        <w:textAlignment w:val="baseline"/>
        <w:rPr>
          <w:rFonts w:hint="eastAsia" w:ascii="仿宋_GB2312" w:eastAsia="仿宋_GB2312" w:hAnsiTheme="minorHAnsi" w:cstheme="minorBidi"/>
          <w:kern w:val="2"/>
          <w:sz w:val="32"/>
          <w:szCs w:val="32"/>
          <w:lang w:val="en-US" w:eastAsia="en-US" w:bidi="ar-SA"/>
        </w:rPr>
      </w:pPr>
      <w:r>
        <w:rPr>
          <w:rFonts w:hint="eastAsia" w:ascii="仿宋_GB2312" w:eastAsia="仿宋_GB2312" w:hAnsiTheme="minorHAnsi" w:cstheme="minorBidi"/>
          <w:kern w:val="2"/>
          <w:sz w:val="32"/>
          <w:szCs w:val="32"/>
          <w:lang w:val="en-US" w:eastAsia="en-US" w:bidi="ar-SA"/>
        </w:rPr>
        <w:t>此项奖励总预算</w:t>
      </w:r>
      <w:r>
        <w:rPr>
          <w:rFonts w:hint="eastAsia" w:ascii="仿宋_GB2312" w:eastAsia="仿宋_GB2312" w:hAnsiTheme="minorHAnsi" w:cstheme="minorBidi"/>
          <w:kern w:val="2"/>
          <w:sz w:val="32"/>
          <w:szCs w:val="32"/>
          <w:lang w:val="en-US" w:eastAsia="zh-CN" w:bidi="ar-SA"/>
        </w:rPr>
        <w:t>40</w:t>
      </w:r>
      <w:r>
        <w:rPr>
          <w:rFonts w:hint="eastAsia" w:ascii="仿宋_GB2312" w:eastAsia="仿宋_GB2312" w:hAnsiTheme="minorHAnsi" w:cstheme="minorBidi"/>
          <w:kern w:val="2"/>
          <w:sz w:val="32"/>
          <w:szCs w:val="32"/>
          <w:lang w:val="en-US" w:eastAsia="en-US" w:bidi="ar-SA"/>
        </w:rPr>
        <w:t>万元，超额不再奖励。</w:t>
      </w:r>
    </w:p>
    <w:p w14:paraId="48F5D1E9">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Autospacing="0" w:after="0" w:afterAutospacing="0" w:line="560" w:lineRule="exact"/>
        <w:ind w:firstLine="640" w:firstLineChars="200"/>
        <w:textAlignment w:val="baseline"/>
        <w:rPr>
          <w:rFonts w:hint="eastAsia" w:ascii="仿宋_GB2312" w:eastAsia="仿宋_GB2312" w:hAnsiTheme="minorHAnsi" w:cstheme="minorBidi"/>
          <w:kern w:val="2"/>
          <w:sz w:val="32"/>
          <w:szCs w:val="32"/>
          <w:lang w:val="en-US" w:eastAsia="en-US" w:bidi="ar-SA"/>
        </w:rPr>
      </w:pPr>
      <w:r>
        <w:rPr>
          <w:rFonts w:hint="eastAsia" w:ascii="仿宋_GB2312" w:eastAsia="仿宋_GB2312" w:hAnsiTheme="minorHAnsi" w:cstheme="minorBidi"/>
          <w:kern w:val="2"/>
          <w:sz w:val="32"/>
          <w:szCs w:val="32"/>
          <w:lang w:val="en-US" w:eastAsia="en-US" w:bidi="ar-SA"/>
        </w:rPr>
        <w:t>B、研学旅行团队奖励。鼓励区外研学实践团队到昌江区内景区、博物馆、研学基地开展研学实践，每次人数在100 人以上，按</w:t>
      </w:r>
      <w:r>
        <w:rPr>
          <w:rFonts w:hint="eastAsia" w:ascii="仿宋_GB2312" w:eastAsia="仿宋_GB2312" w:hAnsiTheme="minorHAnsi" w:cstheme="minorBidi"/>
          <w:kern w:val="2"/>
          <w:sz w:val="32"/>
          <w:szCs w:val="32"/>
          <w:lang w:val="en-US" w:eastAsia="zh-CN" w:bidi="ar-SA"/>
        </w:rPr>
        <w:t>10</w:t>
      </w:r>
      <w:r>
        <w:rPr>
          <w:rFonts w:hint="eastAsia" w:ascii="仿宋_GB2312" w:eastAsia="仿宋_GB2312" w:hAnsiTheme="minorHAnsi" w:cstheme="minorBidi"/>
          <w:kern w:val="2"/>
          <w:sz w:val="32"/>
          <w:szCs w:val="32"/>
          <w:lang w:val="en-US" w:eastAsia="en-US" w:bidi="ar-SA"/>
        </w:rPr>
        <w:t>元/人奖补；如在区内用餐的增加</w:t>
      </w:r>
      <w:r>
        <w:rPr>
          <w:rFonts w:hint="eastAsia" w:ascii="仿宋_GB2312" w:eastAsia="仿宋_GB2312" w:hAnsiTheme="minorHAnsi" w:cstheme="minorBidi"/>
          <w:kern w:val="2"/>
          <w:sz w:val="32"/>
          <w:szCs w:val="32"/>
          <w:lang w:val="en-US" w:eastAsia="zh-CN" w:bidi="ar-SA"/>
        </w:rPr>
        <w:t>5</w:t>
      </w:r>
      <w:r>
        <w:rPr>
          <w:rFonts w:hint="eastAsia" w:ascii="仿宋_GB2312" w:eastAsia="仿宋_GB2312" w:hAnsiTheme="minorHAnsi" w:cstheme="minorBidi"/>
          <w:kern w:val="2"/>
          <w:sz w:val="32"/>
          <w:szCs w:val="32"/>
          <w:lang w:val="en-US" w:eastAsia="en-US" w:bidi="ar-SA"/>
        </w:rPr>
        <w:t>元/</w:t>
      </w:r>
      <w:r>
        <w:rPr>
          <w:rFonts w:hint="eastAsia" w:ascii="仿宋_GB2312" w:eastAsia="仿宋_GB2312" w:hAnsiTheme="minorHAnsi" w:cstheme="minorBidi"/>
          <w:kern w:val="2"/>
          <w:sz w:val="32"/>
          <w:szCs w:val="32"/>
          <w:lang w:val="en-US" w:eastAsia="zh-CN" w:bidi="ar-SA"/>
        </w:rPr>
        <w:t>人，</w:t>
      </w:r>
      <w:r>
        <w:rPr>
          <w:rFonts w:hint="eastAsia" w:ascii="仿宋_GB2312" w:eastAsia="仿宋_GB2312" w:hAnsiTheme="minorHAnsi" w:cstheme="minorBidi"/>
          <w:kern w:val="2"/>
          <w:sz w:val="32"/>
          <w:szCs w:val="32"/>
          <w:lang w:val="en-US" w:eastAsia="en-US" w:bidi="ar-SA"/>
        </w:rPr>
        <w:t>在区内住宿的增加</w:t>
      </w:r>
      <w:r>
        <w:rPr>
          <w:rFonts w:hint="eastAsia" w:ascii="仿宋_GB2312" w:eastAsia="仿宋_GB2312" w:hAnsiTheme="minorHAnsi" w:cstheme="minorBidi"/>
          <w:kern w:val="2"/>
          <w:sz w:val="32"/>
          <w:szCs w:val="32"/>
          <w:lang w:val="en-US" w:eastAsia="zh-CN" w:bidi="ar-SA"/>
        </w:rPr>
        <w:t>10</w:t>
      </w:r>
      <w:r>
        <w:rPr>
          <w:rFonts w:hint="eastAsia" w:ascii="仿宋_GB2312" w:eastAsia="仿宋_GB2312" w:hAnsiTheme="minorHAnsi" w:cstheme="minorBidi"/>
          <w:kern w:val="2"/>
          <w:sz w:val="32"/>
          <w:szCs w:val="32"/>
          <w:lang w:val="en-US" w:eastAsia="en-US" w:bidi="ar-SA"/>
        </w:rPr>
        <w:t>元/人。</w:t>
      </w:r>
    </w:p>
    <w:p w14:paraId="1E2E7916">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560" w:lineRule="exact"/>
        <w:ind w:firstLine="640" w:firstLineChars="200"/>
        <w:textAlignment w:val="baseline"/>
        <w:rPr>
          <w:rFonts w:hint="eastAsia" w:ascii="仿宋_GB2312" w:eastAsia="仿宋_GB2312" w:hAnsiTheme="minorHAnsi" w:cstheme="minorBidi"/>
          <w:kern w:val="2"/>
          <w:sz w:val="32"/>
          <w:szCs w:val="32"/>
          <w:lang w:val="en-US" w:eastAsia="en-US" w:bidi="ar-SA"/>
        </w:rPr>
      </w:pPr>
      <w:r>
        <w:rPr>
          <w:rFonts w:hint="eastAsia" w:ascii="仿宋_GB2312" w:eastAsia="仿宋_GB2312" w:hAnsiTheme="minorHAnsi" w:cstheme="minorBidi"/>
          <w:kern w:val="2"/>
          <w:sz w:val="32"/>
          <w:szCs w:val="32"/>
          <w:lang w:val="en-US" w:eastAsia="en-US" w:bidi="ar-SA"/>
        </w:rPr>
        <w:t>此项奖励总预算</w:t>
      </w:r>
      <w:r>
        <w:rPr>
          <w:rFonts w:hint="eastAsia" w:ascii="仿宋_GB2312" w:eastAsia="仿宋_GB2312" w:hAnsiTheme="minorHAnsi" w:cstheme="minorBidi"/>
          <w:kern w:val="2"/>
          <w:sz w:val="32"/>
          <w:szCs w:val="32"/>
          <w:lang w:val="en-US" w:eastAsia="zh-CN" w:bidi="ar-SA"/>
        </w:rPr>
        <w:t>40</w:t>
      </w:r>
      <w:r>
        <w:rPr>
          <w:rFonts w:hint="eastAsia" w:ascii="仿宋_GB2312" w:eastAsia="仿宋_GB2312" w:hAnsiTheme="minorHAnsi" w:cstheme="minorBidi"/>
          <w:kern w:val="2"/>
          <w:sz w:val="32"/>
          <w:szCs w:val="32"/>
          <w:lang w:val="en-US" w:eastAsia="en-US" w:bidi="ar-SA"/>
        </w:rPr>
        <w:t>万元，超额不再奖励。</w:t>
      </w:r>
    </w:p>
    <w:p w14:paraId="537FD9E9">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560" w:lineRule="exact"/>
        <w:ind w:firstLine="640" w:firstLineChars="200"/>
        <w:textAlignment w:val="baseline"/>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en-US" w:bidi="ar-SA"/>
        </w:rPr>
        <w:t>C、</w:t>
      </w:r>
      <w:r>
        <w:rPr>
          <w:rFonts w:hint="eastAsia" w:ascii="仿宋_GB2312" w:eastAsia="仿宋_GB2312" w:hAnsiTheme="minorHAnsi" w:cstheme="minorBidi"/>
          <w:kern w:val="2"/>
          <w:sz w:val="32"/>
          <w:szCs w:val="32"/>
          <w:lang w:val="en-US" w:eastAsia="zh-CN" w:bidi="ar-SA"/>
        </w:rPr>
        <w:t>为支持2024年区委区政府重点打造的昌南里景区发展，对组团来昌南里景区的游客执行特殊奖励办法，每次组织游客30人以上，游览30分钟以上</w:t>
      </w:r>
      <w:r>
        <w:rPr>
          <w:rFonts w:hint="eastAsia" w:ascii="仿宋_GB2312" w:eastAsia="仿宋_GB2312" w:hAnsiTheme="minorHAnsi" w:cstheme="minorBidi"/>
          <w:kern w:val="2"/>
          <w:sz w:val="32"/>
          <w:szCs w:val="32"/>
          <w:lang w:val="en-US" w:eastAsia="en-US" w:bidi="ar-SA"/>
        </w:rPr>
        <w:t>给予</w:t>
      </w:r>
      <w:r>
        <w:rPr>
          <w:rFonts w:hint="eastAsia" w:ascii="仿宋_GB2312" w:eastAsia="仿宋_GB2312" w:hAnsiTheme="minorHAnsi" w:cstheme="minorBidi"/>
          <w:kern w:val="2"/>
          <w:sz w:val="32"/>
          <w:szCs w:val="32"/>
          <w:lang w:val="en-US" w:eastAsia="zh-CN" w:bidi="ar-SA"/>
        </w:rPr>
        <w:t>7</w:t>
      </w:r>
      <w:r>
        <w:rPr>
          <w:rFonts w:hint="eastAsia" w:ascii="仿宋_GB2312" w:eastAsia="仿宋_GB2312" w:hAnsiTheme="minorHAnsi" w:cstheme="minorBidi"/>
          <w:kern w:val="2"/>
          <w:sz w:val="32"/>
          <w:szCs w:val="32"/>
          <w:lang w:val="en-US" w:eastAsia="en-US" w:bidi="ar-SA"/>
        </w:rPr>
        <w:t>元/人</w:t>
      </w:r>
      <w:r>
        <w:rPr>
          <w:rFonts w:hint="eastAsia" w:ascii="仿宋_GB2312" w:eastAsia="仿宋_GB2312" w:hAnsiTheme="minorHAnsi" w:cstheme="minorBidi"/>
          <w:kern w:val="2"/>
          <w:sz w:val="32"/>
          <w:szCs w:val="32"/>
          <w:lang w:val="en-US" w:eastAsia="zh-CN" w:bidi="ar-SA"/>
        </w:rPr>
        <w:t>的</w:t>
      </w:r>
      <w:r>
        <w:rPr>
          <w:rFonts w:hint="eastAsia" w:ascii="仿宋_GB2312" w:eastAsia="仿宋_GB2312" w:hAnsiTheme="minorHAnsi" w:cstheme="minorBidi"/>
          <w:kern w:val="2"/>
          <w:sz w:val="32"/>
          <w:szCs w:val="32"/>
          <w:lang w:val="en-US" w:eastAsia="en-US" w:bidi="ar-SA"/>
        </w:rPr>
        <w:t>奖补</w:t>
      </w:r>
      <w:r>
        <w:rPr>
          <w:rFonts w:hint="eastAsia" w:ascii="仿宋_GB2312" w:eastAsia="仿宋_GB2312" w:hAnsiTheme="minorHAnsi" w:cstheme="minorBidi"/>
          <w:kern w:val="2"/>
          <w:sz w:val="32"/>
          <w:szCs w:val="32"/>
          <w:lang w:val="en-US" w:eastAsia="zh-CN" w:bidi="ar-SA"/>
        </w:rPr>
        <w:t>；游览60分钟以上</w:t>
      </w:r>
      <w:r>
        <w:rPr>
          <w:rFonts w:hint="eastAsia" w:ascii="仿宋_GB2312" w:eastAsia="仿宋_GB2312" w:hAnsiTheme="minorHAnsi" w:cstheme="minorBidi"/>
          <w:kern w:val="2"/>
          <w:sz w:val="32"/>
          <w:szCs w:val="32"/>
          <w:lang w:val="en-US" w:eastAsia="en-US" w:bidi="ar-SA"/>
        </w:rPr>
        <w:t>给予</w:t>
      </w:r>
      <w:r>
        <w:rPr>
          <w:rFonts w:hint="eastAsia" w:ascii="仿宋_GB2312" w:eastAsia="仿宋_GB2312" w:hAnsiTheme="minorHAnsi" w:cstheme="minorBidi"/>
          <w:kern w:val="2"/>
          <w:sz w:val="32"/>
          <w:szCs w:val="32"/>
          <w:lang w:val="en-US" w:eastAsia="zh-CN" w:bidi="ar-SA"/>
        </w:rPr>
        <w:t>10</w:t>
      </w:r>
      <w:r>
        <w:rPr>
          <w:rFonts w:hint="eastAsia" w:ascii="仿宋_GB2312" w:eastAsia="仿宋_GB2312" w:hAnsiTheme="minorHAnsi" w:cstheme="minorBidi"/>
          <w:kern w:val="2"/>
          <w:sz w:val="32"/>
          <w:szCs w:val="32"/>
          <w:lang w:val="en-US" w:eastAsia="en-US" w:bidi="ar-SA"/>
        </w:rPr>
        <w:t>元/人</w:t>
      </w:r>
      <w:r>
        <w:rPr>
          <w:rFonts w:hint="eastAsia" w:ascii="仿宋_GB2312" w:eastAsia="仿宋_GB2312" w:hAnsiTheme="minorHAnsi" w:cstheme="minorBidi"/>
          <w:kern w:val="2"/>
          <w:sz w:val="32"/>
          <w:szCs w:val="32"/>
          <w:lang w:val="en-US" w:eastAsia="zh-CN" w:bidi="ar-SA"/>
        </w:rPr>
        <w:t>的</w:t>
      </w:r>
      <w:r>
        <w:rPr>
          <w:rFonts w:hint="eastAsia" w:ascii="仿宋_GB2312" w:eastAsia="仿宋_GB2312" w:hAnsiTheme="minorHAnsi" w:cstheme="minorBidi"/>
          <w:kern w:val="2"/>
          <w:sz w:val="32"/>
          <w:szCs w:val="32"/>
          <w:lang w:val="en-US" w:eastAsia="en-US" w:bidi="ar-SA"/>
        </w:rPr>
        <w:t>奖补</w:t>
      </w:r>
      <w:r>
        <w:rPr>
          <w:rFonts w:hint="eastAsia" w:ascii="仿宋_GB2312" w:eastAsia="仿宋_GB2312" w:hAnsiTheme="minorHAnsi" w:cstheme="minorBidi"/>
          <w:kern w:val="2"/>
          <w:sz w:val="32"/>
          <w:szCs w:val="32"/>
          <w:lang w:val="en-US" w:eastAsia="zh-CN" w:bidi="ar-SA"/>
        </w:rPr>
        <w:t>。</w:t>
      </w:r>
    </w:p>
    <w:p w14:paraId="2DDCC776">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560" w:lineRule="exact"/>
        <w:ind w:firstLine="640" w:firstLineChars="200"/>
        <w:textAlignment w:val="baseline"/>
        <w:rPr>
          <w:rFonts w:hint="eastAsia" w:ascii="仿宋_GB2312" w:eastAsia="仿宋_GB2312" w:hAnsiTheme="minorHAnsi" w:cstheme="minorBidi"/>
          <w:kern w:val="2"/>
          <w:sz w:val="32"/>
          <w:szCs w:val="32"/>
          <w:lang w:val="en-US" w:eastAsia="en-US" w:bidi="ar-SA"/>
        </w:rPr>
      </w:pPr>
      <w:r>
        <w:rPr>
          <w:rFonts w:hint="eastAsia" w:ascii="仿宋_GB2312" w:eastAsia="仿宋_GB2312" w:hAnsiTheme="minorHAnsi" w:cstheme="minorBidi"/>
          <w:kern w:val="2"/>
          <w:sz w:val="32"/>
          <w:szCs w:val="32"/>
          <w:lang w:val="en-US" w:eastAsia="en-US" w:bidi="ar-SA"/>
        </w:rPr>
        <w:t>此项奖励总预算</w:t>
      </w:r>
      <w:r>
        <w:rPr>
          <w:rFonts w:hint="eastAsia" w:ascii="仿宋_GB2312" w:eastAsia="仿宋_GB2312" w:hAnsiTheme="minorHAnsi" w:cstheme="minorBidi"/>
          <w:kern w:val="2"/>
          <w:sz w:val="32"/>
          <w:szCs w:val="32"/>
          <w:lang w:val="en-US" w:eastAsia="zh-CN" w:bidi="ar-SA"/>
        </w:rPr>
        <w:t>40</w:t>
      </w:r>
      <w:r>
        <w:rPr>
          <w:rFonts w:hint="eastAsia" w:ascii="仿宋_GB2312" w:eastAsia="仿宋_GB2312" w:hAnsiTheme="minorHAnsi" w:cstheme="minorBidi"/>
          <w:kern w:val="2"/>
          <w:sz w:val="32"/>
          <w:szCs w:val="32"/>
          <w:lang w:val="en-US" w:eastAsia="en-US" w:bidi="ar-SA"/>
        </w:rPr>
        <w:t>万元，超额不再奖励。</w:t>
      </w:r>
    </w:p>
    <w:p w14:paraId="095655AE">
      <w:pPr>
        <w:pStyle w:val="5"/>
        <w:keepNext w:val="0"/>
        <w:keepLines w:val="0"/>
        <w:pageBreakBefore w:val="0"/>
        <w:widowControl/>
        <w:numPr>
          <w:ilvl w:val="0"/>
          <w:numId w:val="1"/>
        </w:numPr>
        <w:kinsoku w:val="0"/>
        <w:wordWrap/>
        <w:overflowPunct/>
        <w:topLinePunct w:val="0"/>
        <w:autoSpaceDE w:val="0"/>
        <w:autoSpaceDN w:val="0"/>
        <w:bidi w:val="0"/>
        <w:adjustRightInd w:val="0"/>
        <w:snapToGrid w:val="0"/>
        <w:spacing w:beforeAutospacing="0" w:afterAutospacing="0" w:line="560" w:lineRule="exact"/>
        <w:ind w:firstLine="640" w:firstLineChars="200"/>
        <w:textAlignment w:val="baseline"/>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区全域旅游集散中心的散客奖励原则上可参照以上奖励办法，单团人数可以放宽，但必须是景市以外游客，方可执行奖励、考核。</w:t>
      </w:r>
    </w:p>
    <w:p w14:paraId="7910FCCF">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beforeAutospacing="0" w:afterAutospacing="0" w:line="560" w:lineRule="exact"/>
        <w:ind w:firstLine="640" w:firstLineChars="200"/>
        <w:textAlignment w:val="baseline"/>
        <w:rPr>
          <w:rFonts w:hint="default"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以上奖励办法，按每年度120万元封顶。由昌江区文旅局制定考核细则，按季度组织专人进行考核，并及时兑现以上各项奖补资金。</w:t>
      </w:r>
    </w:p>
    <w:p w14:paraId="1A2B0A48">
      <w:pPr>
        <w:pStyle w:val="4"/>
        <w:keepNext w:val="0"/>
        <w:keepLines w:val="0"/>
        <w:pageBreakBefore w:val="0"/>
        <w:widowControl w:val="0"/>
        <w:kinsoku/>
        <w:wordWrap w:val="0"/>
        <w:overflowPunct/>
        <w:topLinePunct/>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color w:val="auto"/>
          <w:kern w:val="0"/>
          <w:sz w:val="32"/>
          <w:szCs w:val="32"/>
          <w:u w:val="none"/>
          <w:lang w:val="en-US" w:eastAsia="zh-CN"/>
        </w:rPr>
        <w:sectPr>
          <w:footerReference r:id="rId19" w:type="default"/>
          <w:headerReference r:id="rId18" w:type="even"/>
          <w:pgSz w:w="11906" w:h="16838"/>
          <w:pgMar w:top="1440" w:right="1800" w:bottom="1440" w:left="1800" w:header="851" w:footer="992" w:gutter="0"/>
          <w:pgNumType w:fmt="decimal"/>
          <w:cols w:space="425" w:num="1"/>
          <w:docGrid w:type="lines" w:linePitch="312" w:charSpace="0"/>
        </w:sectPr>
      </w:pPr>
    </w:p>
    <w:p w14:paraId="65916D21">
      <w:pPr>
        <w:pStyle w:val="38"/>
        <w:spacing w:line="660" w:lineRule="exact"/>
        <w:jc w:val="center"/>
        <w:rPr>
          <w:rFonts w:ascii="方正小标宋简体" w:eastAsia="方正小标宋简体"/>
          <w:sz w:val="44"/>
          <w:szCs w:val="44"/>
          <w:lang w:eastAsia="zh-CN"/>
        </w:rPr>
      </w:pPr>
      <w:r>
        <w:rPr>
          <w:rFonts w:hint="eastAsia" w:ascii="方正小标宋简体" w:eastAsia="方正小标宋简体"/>
          <w:sz w:val="44"/>
          <w:szCs w:val="44"/>
          <w:lang w:eastAsia="zh-Hans"/>
        </w:rPr>
        <w:t>昌江区人民政府办公室关于印发</w:t>
      </w:r>
    </w:p>
    <w:p w14:paraId="49CE7A7B">
      <w:pPr>
        <w:pStyle w:val="38"/>
        <w:widowControl w:val="0"/>
        <w:spacing w:line="660" w:lineRule="exact"/>
        <w:jc w:val="center"/>
        <w:rPr>
          <w:rFonts w:ascii="仿宋_GB2312" w:eastAsia="仿宋_GB2312"/>
          <w:sz w:val="32"/>
          <w:szCs w:val="32"/>
          <w:lang w:eastAsia="zh-Hans"/>
        </w:rPr>
      </w:pPr>
      <w:r>
        <w:rPr>
          <w:rFonts w:hint="eastAsia" w:ascii="方正小标宋简体" w:eastAsia="方正小标宋简体"/>
          <w:sz w:val="44"/>
          <w:szCs w:val="44"/>
          <w:lang w:eastAsia="zh-Hans"/>
        </w:rPr>
        <w:t>《昌江区应急管理综合考核办法》的通知</w:t>
      </w:r>
    </w:p>
    <w:p w14:paraId="51E23A8B">
      <w:pPr>
        <w:pStyle w:val="38"/>
        <w:widowControl w:val="0"/>
        <w:spacing w:line="560" w:lineRule="exact"/>
        <w:rPr>
          <w:rFonts w:ascii="仿宋_GB2312" w:eastAsia="仿宋_GB2312"/>
          <w:sz w:val="32"/>
          <w:szCs w:val="32"/>
          <w:lang w:eastAsia="zh-CN"/>
        </w:rPr>
      </w:pPr>
    </w:p>
    <w:p w14:paraId="652E3F76">
      <w:pPr>
        <w:pStyle w:val="38"/>
        <w:widowControl w:val="0"/>
        <w:spacing w:line="560" w:lineRule="exact"/>
        <w:jc w:val="both"/>
        <w:rPr>
          <w:rFonts w:ascii="仿宋_GB2312" w:eastAsia="仿宋_GB2312"/>
          <w:sz w:val="32"/>
          <w:szCs w:val="32"/>
          <w:lang w:eastAsia="zh-Hans"/>
        </w:rPr>
      </w:pPr>
      <w:r>
        <w:rPr>
          <w:rFonts w:hint="eastAsia" w:ascii="仿宋_GB2312" w:eastAsia="仿宋_GB2312"/>
          <w:sz w:val="32"/>
          <w:szCs w:val="32"/>
          <w:lang w:eastAsia="zh-Hans"/>
        </w:rPr>
        <w:t>各乡（镇）人民政府、</w:t>
      </w:r>
      <w:r>
        <w:rPr>
          <w:rFonts w:hint="eastAsia" w:ascii="仿宋_GB2312" w:eastAsia="仿宋_GB2312"/>
          <w:sz w:val="32"/>
          <w:szCs w:val="32"/>
          <w:lang w:eastAsia="zh-CN"/>
        </w:rPr>
        <w:t>街道办事处，区</w:t>
      </w:r>
      <w:r>
        <w:rPr>
          <w:rFonts w:hint="eastAsia" w:ascii="仿宋_GB2312" w:eastAsia="仿宋_GB2312"/>
          <w:sz w:val="32"/>
          <w:szCs w:val="32"/>
          <w:lang w:eastAsia="zh-Hans"/>
        </w:rPr>
        <w:t>政府各部门</w:t>
      </w:r>
      <w:r>
        <w:rPr>
          <w:rFonts w:hint="eastAsia" w:ascii="仿宋_GB2312" w:eastAsia="仿宋_GB2312"/>
          <w:sz w:val="32"/>
          <w:szCs w:val="32"/>
          <w:lang w:eastAsia="zh-CN"/>
        </w:rPr>
        <w:t>，区</w:t>
      </w:r>
      <w:r>
        <w:rPr>
          <w:rFonts w:hint="eastAsia" w:ascii="仿宋_GB2312" w:eastAsia="仿宋_GB2312"/>
          <w:sz w:val="32"/>
          <w:szCs w:val="32"/>
          <w:lang w:eastAsia="zh-Hans"/>
        </w:rPr>
        <w:t>直有关单位：</w:t>
      </w:r>
    </w:p>
    <w:p w14:paraId="23F226CA">
      <w:pPr>
        <w:pStyle w:val="38"/>
        <w:spacing w:line="560" w:lineRule="exact"/>
        <w:ind w:firstLine="640" w:firstLineChars="200"/>
        <w:jc w:val="both"/>
        <w:rPr>
          <w:rFonts w:ascii="仿宋_GB2312" w:hAnsi="黑体" w:eastAsia="仿宋_GB2312"/>
          <w:sz w:val="32"/>
          <w:szCs w:val="32"/>
          <w:lang w:eastAsia="zh-CN"/>
        </w:rPr>
      </w:pPr>
      <w:r>
        <w:rPr>
          <w:rFonts w:hint="eastAsia" w:ascii="仿宋_GB2312" w:hAnsi="黑体" w:eastAsia="仿宋_GB2312"/>
          <w:sz w:val="32"/>
          <w:szCs w:val="32"/>
          <w:lang w:eastAsia="zh-CN"/>
        </w:rPr>
        <w:t>《昌江区应急管理综合考核办法》已经</w:t>
      </w:r>
      <w:r>
        <w:rPr>
          <w:rFonts w:ascii="仿宋_GB2312" w:hAnsi="黑体" w:eastAsia="仿宋_GB2312"/>
          <w:sz w:val="32"/>
          <w:szCs w:val="32"/>
          <w:lang w:eastAsia="zh-CN"/>
        </w:rPr>
        <w:t>20</w:t>
      </w:r>
      <w:r>
        <w:rPr>
          <w:rFonts w:hint="eastAsia" w:ascii="仿宋_GB2312" w:hAnsi="黑体" w:eastAsia="仿宋_GB2312"/>
          <w:sz w:val="32"/>
          <w:szCs w:val="32"/>
          <w:lang w:eastAsia="zh-CN"/>
        </w:rPr>
        <w:t>24</w:t>
      </w:r>
      <w:r>
        <w:rPr>
          <w:rFonts w:ascii="仿宋_GB2312" w:hAnsi="黑体" w:eastAsia="仿宋_GB2312"/>
          <w:sz w:val="32"/>
          <w:szCs w:val="32"/>
          <w:lang w:eastAsia="zh-CN"/>
        </w:rPr>
        <w:t>年</w:t>
      </w:r>
      <w:r>
        <w:rPr>
          <w:rFonts w:hint="eastAsia" w:ascii="仿宋_GB2312" w:hAnsi="黑体" w:eastAsia="仿宋_GB2312"/>
          <w:sz w:val="32"/>
          <w:szCs w:val="32"/>
          <w:lang w:eastAsia="zh-CN"/>
        </w:rPr>
        <w:t>5</w:t>
      </w:r>
      <w:r>
        <w:rPr>
          <w:rFonts w:ascii="仿宋_GB2312" w:hAnsi="黑体" w:eastAsia="仿宋_GB2312"/>
          <w:sz w:val="32"/>
          <w:szCs w:val="32"/>
          <w:lang w:eastAsia="zh-CN"/>
        </w:rPr>
        <w:t>月</w:t>
      </w:r>
      <w:r>
        <w:rPr>
          <w:rFonts w:hint="eastAsia" w:ascii="仿宋_GB2312" w:hAnsi="黑体" w:eastAsia="仿宋_GB2312"/>
          <w:sz w:val="32"/>
          <w:szCs w:val="32"/>
          <w:lang w:eastAsia="zh-CN"/>
        </w:rPr>
        <w:t>14</w:t>
      </w:r>
      <w:r>
        <w:rPr>
          <w:rFonts w:ascii="仿宋_GB2312" w:hAnsi="黑体" w:eastAsia="仿宋_GB2312"/>
          <w:sz w:val="32"/>
          <w:szCs w:val="32"/>
          <w:lang w:eastAsia="zh-CN"/>
        </w:rPr>
        <w:t>日</w:t>
      </w:r>
      <w:r>
        <w:rPr>
          <w:rFonts w:hint="eastAsia" w:ascii="仿宋_GB2312" w:hAnsi="黑体" w:eastAsia="仿宋_GB2312"/>
          <w:sz w:val="32"/>
          <w:szCs w:val="32"/>
          <w:lang w:eastAsia="zh-CN"/>
        </w:rPr>
        <w:t>区</w:t>
      </w:r>
      <w:r>
        <w:rPr>
          <w:rFonts w:ascii="仿宋_GB2312" w:hAnsi="黑体" w:eastAsia="仿宋_GB2312"/>
          <w:sz w:val="32"/>
          <w:szCs w:val="32"/>
          <w:lang w:eastAsia="zh-CN"/>
        </w:rPr>
        <w:t>政府第</w:t>
      </w:r>
      <w:r>
        <w:rPr>
          <w:rFonts w:hint="eastAsia" w:ascii="仿宋_GB2312" w:hAnsi="黑体" w:eastAsia="仿宋_GB2312"/>
          <w:sz w:val="32"/>
          <w:szCs w:val="32"/>
          <w:lang w:eastAsia="zh-CN"/>
        </w:rPr>
        <w:t>46</w:t>
      </w:r>
      <w:r>
        <w:rPr>
          <w:rFonts w:ascii="仿宋_GB2312" w:hAnsi="黑体" w:eastAsia="仿宋_GB2312"/>
          <w:sz w:val="32"/>
          <w:szCs w:val="32"/>
          <w:lang w:eastAsia="zh-CN"/>
        </w:rPr>
        <w:t>次常务会议审议通过，现印发给你们，请认真贯彻执行。</w:t>
      </w:r>
    </w:p>
    <w:p w14:paraId="59E96450">
      <w:pPr>
        <w:pStyle w:val="38"/>
        <w:spacing w:line="560" w:lineRule="exact"/>
        <w:jc w:val="both"/>
        <w:rPr>
          <w:rFonts w:ascii="仿宋_GB2312" w:hAnsi="黑体" w:eastAsia="仿宋_GB2312"/>
          <w:sz w:val="32"/>
          <w:szCs w:val="32"/>
          <w:lang w:eastAsia="zh-CN"/>
        </w:rPr>
      </w:pPr>
    </w:p>
    <w:p w14:paraId="40B8F5D7">
      <w:pPr>
        <w:pStyle w:val="38"/>
        <w:spacing w:line="560" w:lineRule="exact"/>
        <w:jc w:val="both"/>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 xml:space="preserve">                                  昌江区人民政府办公室</w:t>
      </w:r>
    </w:p>
    <w:p w14:paraId="291E84BB">
      <w:pPr>
        <w:pStyle w:val="38"/>
        <w:spacing w:line="560" w:lineRule="exact"/>
        <w:jc w:val="both"/>
        <w:rPr>
          <w:rFonts w:ascii="仿宋_GB2312" w:hAnsi="黑体" w:eastAsia="仿宋_GB2312"/>
          <w:sz w:val="32"/>
          <w:szCs w:val="32"/>
          <w:lang w:eastAsia="zh-CN"/>
        </w:rPr>
      </w:pPr>
      <w:r>
        <w:rPr>
          <w:rFonts w:hint="eastAsia" w:ascii="仿宋_GB2312" w:hAnsi="黑体" w:eastAsia="仿宋_GB2312"/>
          <w:sz w:val="32"/>
          <w:szCs w:val="32"/>
          <w:lang w:val="en-US" w:eastAsia="zh-CN"/>
        </w:rPr>
        <w:t xml:space="preserve">                                     2024年5月31日</w:t>
      </w:r>
    </w:p>
    <w:p w14:paraId="4264502A">
      <w:pPr>
        <w:pStyle w:val="38"/>
        <w:widowControl w:val="0"/>
        <w:spacing w:line="660" w:lineRule="exact"/>
        <w:jc w:val="center"/>
        <w:rPr>
          <w:rFonts w:hint="eastAsia" w:ascii="方正小标宋简体" w:eastAsia="方正小标宋简体"/>
          <w:sz w:val="44"/>
          <w:szCs w:val="44"/>
          <w:lang w:eastAsia="zh-Hans"/>
        </w:rPr>
      </w:pPr>
      <w:bookmarkStart w:id="0" w:name="_Hlk167710945"/>
    </w:p>
    <w:p w14:paraId="07F904E4">
      <w:pPr>
        <w:pStyle w:val="38"/>
        <w:widowControl w:val="0"/>
        <w:spacing w:line="660" w:lineRule="exact"/>
        <w:jc w:val="center"/>
        <w:rPr>
          <w:rFonts w:hint="eastAsia" w:ascii="方正小标宋简体" w:eastAsia="方正小标宋简体"/>
          <w:sz w:val="44"/>
          <w:szCs w:val="44"/>
          <w:lang w:eastAsia="zh-Hans"/>
        </w:rPr>
      </w:pPr>
    </w:p>
    <w:p w14:paraId="2F67099E">
      <w:pPr>
        <w:pStyle w:val="38"/>
        <w:widowControl w:val="0"/>
        <w:spacing w:line="660" w:lineRule="exact"/>
        <w:jc w:val="center"/>
        <w:rPr>
          <w:rFonts w:hint="eastAsia" w:ascii="方正小标宋简体" w:eastAsia="方正小标宋简体"/>
          <w:sz w:val="44"/>
          <w:szCs w:val="44"/>
          <w:lang w:eastAsia="zh-Hans"/>
        </w:rPr>
      </w:pPr>
    </w:p>
    <w:p w14:paraId="27A35292">
      <w:pPr>
        <w:pStyle w:val="38"/>
        <w:widowControl w:val="0"/>
        <w:spacing w:line="660" w:lineRule="exact"/>
        <w:jc w:val="center"/>
        <w:rPr>
          <w:rFonts w:hint="eastAsia" w:ascii="方正小标宋简体" w:eastAsia="方正小标宋简体"/>
          <w:sz w:val="44"/>
          <w:szCs w:val="44"/>
          <w:lang w:eastAsia="zh-Hans"/>
        </w:rPr>
      </w:pPr>
    </w:p>
    <w:p w14:paraId="31B65413">
      <w:pPr>
        <w:pStyle w:val="38"/>
        <w:widowControl w:val="0"/>
        <w:spacing w:line="660" w:lineRule="exact"/>
        <w:jc w:val="center"/>
        <w:rPr>
          <w:rFonts w:hint="eastAsia" w:ascii="方正小标宋简体" w:eastAsia="方正小标宋简体"/>
          <w:sz w:val="44"/>
          <w:szCs w:val="44"/>
          <w:lang w:eastAsia="zh-Hans"/>
        </w:rPr>
      </w:pPr>
    </w:p>
    <w:p w14:paraId="26E13A16">
      <w:pPr>
        <w:pStyle w:val="38"/>
        <w:widowControl w:val="0"/>
        <w:spacing w:line="660" w:lineRule="exact"/>
        <w:jc w:val="center"/>
        <w:rPr>
          <w:rFonts w:hint="eastAsia" w:ascii="方正小标宋简体" w:eastAsia="方正小标宋简体"/>
          <w:sz w:val="44"/>
          <w:szCs w:val="44"/>
          <w:lang w:eastAsia="zh-Hans"/>
        </w:rPr>
      </w:pPr>
    </w:p>
    <w:p w14:paraId="01FF590F">
      <w:pPr>
        <w:pStyle w:val="38"/>
        <w:widowControl w:val="0"/>
        <w:spacing w:line="660" w:lineRule="exact"/>
        <w:jc w:val="center"/>
        <w:rPr>
          <w:rFonts w:hint="eastAsia" w:ascii="方正小标宋简体" w:eastAsia="方正小标宋简体"/>
          <w:sz w:val="44"/>
          <w:szCs w:val="44"/>
          <w:lang w:eastAsia="zh-Hans"/>
        </w:rPr>
      </w:pPr>
    </w:p>
    <w:p w14:paraId="6463D643">
      <w:pPr>
        <w:pStyle w:val="38"/>
        <w:widowControl w:val="0"/>
        <w:spacing w:line="660" w:lineRule="exact"/>
        <w:jc w:val="center"/>
        <w:rPr>
          <w:rFonts w:hint="eastAsia" w:ascii="方正小标宋简体" w:eastAsia="方正小标宋简体"/>
          <w:sz w:val="44"/>
          <w:szCs w:val="44"/>
          <w:lang w:eastAsia="zh-Hans"/>
        </w:rPr>
      </w:pPr>
    </w:p>
    <w:p w14:paraId="3A542D2B">
      <w:pPr>
        <w:pStyle w:val="38"/>
        <w:widowControl w:val="0"/>
        <w:spacing w:line="660" w:lineRule="exact"/>
        <w:jc w:val="center"/>
        <w:rPr>
          <w:rFonts w:hint="eastAsia" w:ascii="方正小标宋简体" w:eastAsia="方正小标宋简体"/>
          <w:sz w:val="44"/>
          <w:szCs w:val="44"/>
          <w:lang w:eastAsia="zh-Hans"/>
        </w:rPr>
      </w:pPr>
    </w:p>
    <w:p w14:paraId="498D130E">
      <w:pPr>
        <w:pStyle w:val="38"/>
        <w:widowControl w:val="0"/>
        <w:spacing w:line="660" w:lineRule="exact"/>
        <w:jc w:val="center"/>
        <w:rPr>
          <w:rFonts w:hint="eastAsia" w:ascii="方正小标宋简体" w:eastAsia="方正小标宋简体"/>
          <w:sz w:val="44"/>
          <w:szCs w:val="44"/>
          <w:lang w:eastAsia="zh-Hans"/>
        </w:rPr>
      </w:pPr>
    </w:p>
    <w:p w14:paraId="6C113603">
      <w:pPr>
        <w:pStyle w:val="38"/>
        <w:widowControl w:val="0"/>
        <w:spacing w:line="660" w:lineRule="exact"/>
        <w:jc w:val="center"/>
        <w:rPr>
          <w:rFonts w:hint="eastAsia" w:ascii="方正小标宋简体" w:eastAsia="方正小标宋简体"/>
          <w:sz w:val="44"/>
          <w:szCs w:val="44"/>
          <w:lang w:eastAsia="zh-Hans"/>
        </w:rPr>
      </w:pPr>
    </w:p>
    <w:p w14:paraId="14DD7739">
      <w:pPr>
        <w:pStyle w:val="38"/>
        <w:widowControl w:val="0"/>
        <w:spacing w:line="660" w:lineRule="exact"/>
        <w:jc w:val="both"/>
        <w:rPr>
          <w:rFonts w:hint="eastAsia" w:ascii="方正小标宋简体" w:eastAsia="方正小标宋简体"/>
          <w:sz w:val="44"/>
          <w:szCs w:val="44"/>
          <w:lang w:eastAsia="zh-Hans"/>
        </w:rPr>
      </w:pPr>
    </w:p>
    <w:p w14:paraId="008ADCD1">
      <w:pPr>
        <w:pStyle w:val="38"/>
        <w:widowControl w:val="0"/>
        <w:spacing w:line="660" w:lineRule="exact"/>
        <w:jc w:val="center"/>
        <w:rPr>
          <w:rFonts w:ascii="方正小标宋简体" w:eastAsia="方正小标宋简体"/>
          <w:sz w:val="44"/>
          <w:szCs w:val="44"/>
          <w:lang w:eastAsia="zh-Hans"/>
        </w:rPr>
      </w:pPr>
      <w:r>
        <w:rPr>
          <w:rFonts w:hint="eastAsia" w:ascii="方正小标宋简体" w:eastAsia="方正小标宋简体"/>
          <w:sz w:val="44"/>
          <w:szCs w:val="44"/>
          <w:lang w:eastAsia="zh-Hans"/>
        </w:rPr>
        <w:t>昌江区应急管理综合考核办法</w:t>
      </w:r>
    </w:p>
    <w:bookmarkEnd w:id="0"/>
    <w:p w14:paraId="514855FD">
      <w:pPr>
        <w:pStyle w:val="38"/>
        <w:widowControl w:val="0"/>
        <w:spacing w:line="560" w:lineRule="exact"/>
        <w:ind w:firstLine="643" w:firstLineChars="200"/>
        <w:jc w:val="both"/>
        <w:rPr>
          <w:rFonts w:ascii="黑体" w:hAnsi="黑体" w:eastAsia="黑体"/>
          <w:b/>
          <w:bCs/>
          <w:sz w:val="32"/>
          <w:szCs w:val="32"/>
          <w:lang w:eastAsia="zh-CN"/>
        </w:rPr>
      </w:pPr>
    </w:p>
    <w:p w14:paraId="48AA8C84">
      <w:pPr>
        <w:pStyle w:val="38"/>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ascii="仿宋_GB2312" w:eastAsia="仿宋_GB2312"/>
          <w:sz w:val="32"/>
          <w:szCs w:val="32"/>
          <w:lang w:eastAsia="zh-Hans"/>
        </w:rPr>
      </w:pPr>
      <w:r>
        <w:rPr>
          <w:rFonts w:hint="eastAsia" w:ascii="黑体" w:hAnsi="黑体" w:eastAsia="黑体"/>
          <w:b/>
          <w:bCs/>
          <w:sz w:val="32"/>
          <w:szCs w:val="32"/>
          <w:lang w:eastAsia="zh-Hans"/>
        </w:rPr>
        <w:t>第一条</w:t>
      </w:r>
      <w:r>
        <w:rPr>
          <w:rFonts w:hint="eastAsia" w:ascii="仿宋_GB2312" w:eastAsia="仿宋_GB2312"/>
          <w:sz w:val="32"/>
          <w:szCs w:val="32"/>
          <w:lang w:eastAsia="zh-CN"/>
        </w:rPr>
        <w:t xml:space="preserve"> </w:t>
      </w:r>
      <w:r>
        <w:rPr>
          <w:rFonts w:hint="eastAsia" w:ascii="仿宋_GB2312" w:eastAsia="仿宋_GB2312"/>
          <w:sz w:val="32"/>
          <w:szCs w:val="32"/>
          <w:lang w:eastAsia="zh-Hans"/>
        </w:rPr>
        <w:t>为贯彻落实党中央、国务院、</w:t>
      </w:r>
      <w:r>
        <w:rPr>
          <w:rFonts w:hint="eastAsia" w:ascii="仿宋_GB2312" w:eastAsia="仿宋_GB2312"/>
          <w:sz w:val="32"/>
          <w:szCs w:val="32"/>
          <w:lang w:eastAsia="zh-CN"/>
        </w:rPr>
        <w:t>省委、省政府和市委、市政府</w:t>
      </w:r>
      <w:r>
        <w:rPr>
          <w:rFonts w:hint="eastAsia" w:ascii="仿宋_GB2312" w:eastAsia="仿宋_GB2312"/>
          <w:sz w:val="32"/>
          <w:szCs w:val="32"/>
          <w:lang w:eastAsia="zh-Hans"/>
        </w:rPr>
        <w:t>关于推进应急管理工作的决策部署，加快构建应急管理制度体系，促进全区安全态势平稳，根据《中华人民共和国突发事件应对法》《中华人民共和国安全生产法》《中华人民共和国消防法》《森林防火条例》《消防安全责任制实施办法》以及《江西省突发事件应对条例》《江西省安全生产条例》《江西省消防条例》《江西省森林防火条例》等法律法规、《江西省党政领导干部安全生产责任制实施细则》等有关规定和《江西省应急管理综合考核办法》《景德镇市应急管理综合考核办法》要求，结合工作实际，制定本办法。</w:t>
      </w:r>
    </w:p>
    <w:p w14:paraId="0B3FA454">
      <w:pPr>
        <w:pStyle w:val="38"/>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lang w:eastAsia="zh-Hans"/>
        </w:rPr>
      </w:pPr>
      <w:r>
        <w:rPr>
          <w:rFonts w:hint="eastAsia" w:ascii="黑体" w:hAnsi="黑体" w:eastAsia="黑体"/>
          <w:sz w:val="32"/>
          <w:szCs w:val="32"/>
          <w:lang w:eastAsia="zh-Hans"/>
        </w:rPr>
        <w:t>第二条</w:t>
      </w:r>
      <w:r>
        <w:rPr>
          <w:rFonts w:hint="eastAsia" w:ascii="仿宋_GB2312" w:eastAsia="仿宋_GB2312"/>
          <w:sz w:val="32"/>
          <w:szCs w:val="32"/>
          <w:lang w:eastAsia="zh-CN"/>
        </w:rPr>
        <w:t xml:space="preserve"> </w:t>
      </w:r>
      <w:r>
        <w:rPr>
          <w:rFonts w:hint="eastAsia" w:ascii="仿宋_GB2312" w:eastAsia="仿宋_GB2312"/>
          <w:sz w:val="32"/>
          <w:szCs w:val="32"/>
          <w:lang w:eastAsia="zh-Hans"/>
        </w:rPr>
        <w:t>本办法适用于对乡（镇）人民政府、</w:t>
      </w:r>
      <w:r>
        <w:rPr>
          <w:rFonts w:hint="eastAsia" w:ascii="仿宋_GB2312" w:eastAsia="仿宋_GB2312"/>
          <w:sz w:val="32"/>
          <w:szCs w:val="32"/>
          <w:lang w:eastAsia="zh-CN"/>
        </w:rPr>
        <w:t>街道办事处，区</w:t>
      </w:r>
      <w:r>
        <w:rPr>
          <w:rFonts w:hint="eastAsia" w:ascii="仿宋_GB2312" w:eastAsia="仿宋_GB2312"/>
          <w:sz w:val="32"/>
          <w:szCs w:val="32"/>
          <w:lang w:eastAsia="zh-Hans"/>
        </w:rPr>
        <w:t>直有关单位安全生产、消防、防灾减灾救灾和森林防灭火等工作的年度考核（以下统称应急管理综合考核）。</w:t>
      </w:r>
    </w:p>
    <w:p w14:paraId="19303E6E">
      <w:pPr>
        <w:pStyle w:val="38"/>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lang w:eastAsia="zh-Hans"/>
        </w:rPr>
      </w:pPr>
      <w:r>
        <w:rPr>
          <w:rFonts w:hint="eastAsia" w:ascii="黑体" w:hAnsi="黑体" w:eastAsia="黑体"/>
          <w:sz w:val="32"/>
          <w:szCs w:val="32"/>
          <w:lang w:eastAsia="zh-Hans"/>
        </w:rPr>
        <w:t>第三条</w:t>
      </w:r>
      <w:r>
        <w:rPr>
          <w:rFonts w:hint="eastAsia" w:ascii="仿宋_GB2312" w:eastAsia="仿宋_GB2312"/>
          <w:sz w:val="32"/>
          <w:szCs w:val="32"/>
          <w:lang w:eastAsia="zh-CN"/>
        </w:rPr>
        <w:t xml:space="preserve"> </w:t>
      </w:r>
      <w:r>
        <w:rPr>
          <w:rFonts w:hint="eastAsia" w:ascii="仿宋_GB2312" w:eastAsia="仿宋_GB2312"/>
          <w:sz w:val="32"/>
          <w:szCs w:val="32"/>
          <w:lang w:eastAsia="zh-Hans"/>
        </w:rPr>
        <w:t>考核工作坚持客观公正、科学合理、公开透明、注重实效的原则。</w:t>
      </w:r>
    </w:p>
    <w:p w14:paraId="2F77DC48">
      <w:pPr>
        <w:pStyle w:val="38"/>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lang w:eastAsia="zh-Hans"/>
        </w:rPr>
      </w:pPr>
      <w:r>
        <w:rPr>
          <w:rFonts w:hint="eastAsia" w:ascii="黑体" w:hAnsi="黑体" w:eastAsia="黑体"/>
          <w:sz w:val="32"/>
          <w:szCs w:val="32"/>
          <w:lang w:eastAsia="zh-Hans"/>
        </w:rPr>
        <w:t>第四条</w:t>
      </w:r>
      <w:r>
        <w:rPr>
          <w:rFonts w:hint="eastAsia" w:ascii="仿宋_GB2312" w:eastAsia="仿宋_GB2312"/>
          <w:sz w:val="32"/>
          <w:szCs w:val="32"/>
          <w:lang w:eastAsia="zh-CN"/>
        </w:rPr>
        <w:t xml:space="preserve"> </w:t>
      </w:r>
      <w:r>
        <w:rPr>
          <w:rFonts w:hint="eastAsia" w:ascii="仿宋_GB2312" w:eastAsia="仿宋_GB2312"/>
          <w:sz w:val="32"/>
          <w:szCs w:val="32"/>
          <w:lang w:eastAsia="zh-Hans"/>
        </w:rPr>
        <w:t>在区委、区政府统一领导下，成立区应急管理综合考核领导小组。由区直有关部门组成，考核领导小组办公室（以下简称考核办)设在区应急管理局，办公室主任由区应急管理局主要领导兼任。乡（镇）人民政府、</w:t>
      </w:r>
      <w:r>
        <w:rPr>
          <w:rFonts w:hint="eastAsia" w:ascii="仿宋_GB2312" w:eastAsia="仿宋_GB2312"/>
          <w:sz w:val="32"/>
          <w:szCs w:val="32"/>
          <w:lang w:eastAsia="zh-CN"/>
        </w:rPr>
        <w:t>街道办事处</w:t>
      </w:r>
      <w:r>
        <w:rPr>
          <w:rFonts w:hint="eastAsia" w:ascii="仿宋_GB2312" w:eastAsia="仿宋_GB2312"/>
          <w:sz w:val="32"/>
          <w:szCs w:val="32"/>
          <w:lang w:eastAsia="zh-Hans"/>
        </w:rPr>
        <w:t>的应急管理综合考核由乡(镇)街道负责，可参照本办法，结合实际细化本乡（镇）街道应急管理综合考核办法并报区考核办备案。</w:t>
      </w:r>
    </w:p>
    <w:p w14:paraId="3B6E7B42">
      <w:pPr>
        <w:pStyle w:val="38"/>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lang w:eastAsia="zh-Hans"/>
        </w:rPr>
      </w:pPr>
      <w:r>
        <w:rPr>
          <w:rFonts w:hint="eastAsia" w:ascii="黑体" w:hAnsi="黑体" w:eastAsia="黑体"/>
          <w:sz w:val="32"/>
          <w:szCs w:val="32"/>
          <w:lang w:eastAsia="zh-Hans"/>
        </w:rPr>
        <w:t>第五条</w:t>
      </w:r>
      <w:r>
        <w:rPr>
          <w:rFonts w:hint="eastAsia" w:ascii="仿宋_GB2312" w:eastAsia="仿宋_GB2312"/>
          <w:sz w:val="32"/>
          <w:szCs w:val="32"/>
          <w:lang w:eastAsia="zh-CN"/>
        </w:rPr>
        <w:t xml:space="preserve"> </w:t>
      </w:r>
      <w:r>
        <w:rPr>
          <w:rFonts w:hint="eastAsia" w:ascii="仿宋_GB2312" w:eastAsia="仿宋_GB2312"/>
          <w:sz w:val="32"/>
          <w:szCs w:val="32"/>
          <w:lang w:eastAsia="zh-Hans"/>
        </w:rPr>
        <w:t>考核以年度工作为重点，坚持目标导向、问题导向和结果导向，采取日常检查与指标衡量相结合、年中推进与年终考核相结合、自查自评与实地考核相结合的方式进行。考核时间由考核办统筹安排。</w:t>
      </w:r>
    </w:p>
    <w:p w14:paraId="4ECE475C">
      <w:pPr>
        <w:pStyle w:val="38"/>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lang w:eastAsia="zh-Hans"/>
        </w:rPr>
      </w:pPr>
      <w:r>
        <w:rPr>
          <w:rFonts w:hint="eastAsia" w:ascii="黑体" w:hAnsi="黑体" w:eastAsia="黑体"/>
          <w:sz w:val="32"/>
          <w:szCs w:val="32"/>
          <w:lang w:eastAsia="zh-Hans"/>
        </w:rPr>
        <w:t>第六条</w:t>
      </w:r>
      <w:r>
        <w:rPr>
          <w:rFonts w:hint="eastAsia" w:ascii="仿宋_GB2312" w:eastAsia="仿宋_GB2312"/>
          <w:sz w:val="32"/>
          <w:szCs w:val="32"/>
          <w:lang w:eastAsia="zh-CN"/>
        </w:rPr>
        <w:t xml:space="preserve"> </w:t>
      </w:r>
      <w:r>
        <w:rPr>
          <w:rFonts w:hint="eastAsia" w:ascii="仿宋_GB2312" w:eastAsia="仿宋_GB2312"/>
          <w:sz w:val="32"/>
          <w:szCs w:val="32"/>
          <w:lang w:eastAsia="zh-Hans"/>
        </w:rPr>
        <w:t>考核主要包括但不限于体制机制建设、责任落实、基础建设、依法治理、预警预防、应急救援等内容。</w:t>
      </w:r>
    </w:p>
    <w:p w14:paraId="0E2C32B9">
      <w:pPr>
        <w:pStyle w:val="38"/>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lang w:eastAsia="zh-Hans"/>
        </w:rPr>
      </w:pPr>
      <w:r>
        <w:rPr>
          <w:rFonts w:hint="eastAsia" w:ascii="黑体" w:hAnsi="黑体" w:eastAsia="黑体"/>
          <w:sz w:val="32"/>
          <w:szCs w:val="32"/>
          <w:lang w:eastAsia="zh-Hans"/>
        </w:rPr>
        <w:t>第七条</w:t>
      </w:r>
      <w:r>
        <w:rPr>
          <w:rFonts w:hint="eastAsia" w:ascii="仿宋_GB2312" w:eastAsia="仿宋_GB2312"/>
          <w:sz w:val="32"/>
          <w:szCs w:val="32"/>
          <w:lang w:eastAsia="zh-CN"/>
        </w:rPr>
        <w:t xml:space="preserve"> </w:t>
      </w:r>
      <w:r>
        <w:rPr>
          <w:rFonts w:hint="eastAsia" w:ascii="仿宋_GB2312" w:eastAsia="仿宋_GB2312"/>
          <w:sz w:val="32"/>
          <w:szCs w:val="32"/>
          <w:lang w:eastAsia="zh-Hans"/>
        </w:rPr>
        <w:t>考核办依据本办法和年度重点工作任务，于每年9月底前，牵头组织相关单位制定安全生产、消防、防灾减灾救灾和森林防灭火工作考核细则或综合考核细则。</w:t>
      </w:r>
    </w:p>
    <w:p w14:paraId="34522B67">
      <w:pPr>
        <w:pStyle w:val="38"/>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lang w:eastAsia="zh-Hans"/>
        </w:rPr>
      </w:pPr>
      <w:r>
        <w:rPr>
          <w:rFonts w:hint="eastAsia" w:ascii="黑体" w:hAnsi="黑体" w:eastAsia="黑体"/>
          <w:sz w:val="32"/>
          <w:szCs w:val="32"/>
          <w:lang w:eastAsia="zh-Hans"/>
        </w:rPr>
        <w:t>第八条</w:t>
      </w:r>
      <w:r>
        <w:rPr>
          <w:rFonts w:hint="eastAsia" w:ascii="仿宋_GB2312" w:eastAsia="仿宋_GB2312"/>
          <w:sz w:val="32"/>
          <w:szCs w:val="32"/>
          <w:lang w:eastAsia="zh-CN"/>
        </w:rPr>
        <w:t xml:space="preserve"> </w:t>
      </w:r>
      <w:r>
        <w:rPr>
          <w:rFonts w:hint="eastAsia" w:ascii="仿宋_GB2312" w:eastAsia="仿宋_GB2312"/>
          <w:sz w:val="32"/>
          <w:szCs w:val="32"/>
          <w:lang w:eastAsia="zh-Hans"/>
        </w:rPr>
        <w:t>考核实行百分制评分，其中安全生产占40%、消防占20%、防灾减灾救灾占20%、森林防灭火占20%分值。</w:t>
      </w:r>
    </w:p>
    <w:p w14:paraId="2FA03E01">
      <w:pPr>
        <w:pStyle w:val="38"/>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lang w:eastAsia="zh-Hans"/>
        </w:rPr>
      </w:pPr>
      <w:r>
        <w:rPr>
          <w:rFonts w:hint="eastAsia" w:ascii="黑体" w:hAnsi="黑体" w:eastAsia="黑体"/>
          <w:sz w:val="32"/>
          <w:szCs w:val="32"/>
          <w:lang w:eastAsia="zh-Hans"/>
        </w:rPr>
        <w:t>第九条</w:t>
      </w:r>
      <w:r>
        <w:rPr>
          <w:rFonts w:hint="eastAsia" w:ascii="仿宋_GB2312" w:eastAsia="仿宋_GB2312"/>
          <w:sz w:val="32"/>
          <w:szCs w:val="32"/>
          <w:lang w:eastAsia="zh-CN"/>
        </w:rPr>
        <w:t xml:space="preserve"> </w:t>
      </w:r>
      <w:r>
        <w:rPr>
          <w:rFonts w:hint="eastAsia" w:ascii="仿宋_GB2312" w:eastAsia="仿宋_GB2312"/>
          <w:sz w:val="32"/>
          <w:szCs w:val="32"/>
          <w:lang w:eastAsia="zh-Hans"/>
        </w:rPr>
        <w:t>事故考核时段为当年1月1日至12月31日；经查实考核年度前三年内发生瞒报事故的，列入该年度考核。</w:t>
      </w:r>
    </w:p>
    <w:p w14:paraId="45310E12">
      <w:pPr>
        <w:pStyle w:val="38"/>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lang w:eastAsia="zh-Hans"/>
        </w:rPr>
      </w:pPr>
      <w:r>
        <w:rPr>
          <w:rFonts w:hint="eastAsia" w:ascii="黑体" w:hAnsi="黑体" w:eastAsia="黑体"/>
          <w:sz w:val="32"/>
          <w:szCs w:val="32"/>
          <w:lang w:eastAsia="zh-Hans"/>
        </w:rPr>
        <w:t>第十条</w:t>
      </w:r>
      <w:r>
        <w:rPr>
          <w:rFonts w:hint="eastAsia" w:ascii="仿宋_GB2312" w:eastAsia="仿宋_GB2312"/>
          <w:sz w:val="32"/>
          <w:szCs w:val="32"/>
          <w:lang w:eastAsia="zh-CN"/>
        </w:rPr>
        <w:t xml:space="preserve"> </w:t>
      </w:r>
      <w:r>
        <w:rPr>
          <w:rFonts w:hint="eastAsia" w:ascii="仿宋_GB2312" w:eastAsia="仿宋_GB2312"/>
          <w:sz w:val="32"/>
          <w:szCs w:val="32"/>
          <w:lang w:eastAsia="zh-Hans"/>
        </w:rPr>
        <w:t>考核结果分为优秀、良好、合格、不合格四个等级，按照综合考核评分和下列情形分别进行认定：综合得分90分以上，按分值排位顺序前</w:t>
      </w:r>
      <w:r>
        <w:rPr>
          <w:rFonts w:ascii="仿宋_GB2312" w:eastAsia="仿宋_GB2312"/>
          <w:sz w:val="32"/>
          <w:szCs w:val="32"/>
          <w:lang w:eastAsia="zh-Hans"/>
        </w:rPr>
        <w:t>2</w:t>
      </w:r>
      <w:r>
        <w:rPr>
          <w:rFonts w:hint="eastAsia" w:ascii="仿宋_GB2312" w:eastAsia="仿宋_GB2312"/>
          <w:sz w:val="32"/>
          <w:szCs w:val="32"/>
          <w:lang w:eastAsia="zh-Hans"/>
        </w:rPr>
        <w:t>的乡（镇)街道、排位前</w:t>
      </w:r>
      <w:r>
        <w:rPr>
          <w:rFonts w:hint="eastAsia" w:ascii="仿宋_GB2312" w:eastAsia="仿宋_GB2312"/>
          <w:sz w:val="32"/>
          <w:szCs w:val="32"/>
          <w:lang w:eastAsia="zh-CN"/>
        </w:rPr>
        <w:t>8</w:t>
      </w:r>
      <w:r>
        <w:rPr>
          <w:rFonts w:hint="eastAsia" w:ascii="仿宋_GB2312" w:eastAsia="仿宋_GB2312"/>
          <w:sz w:val="32"/>
          <w:szCs w:val="32"/>
          <w:lang w:eastAsia="zh-Hans"/>
        </w:rPr>
        <w:t>的区直有关部门为优秀；综合得分80分以上90分以下及90分以上未被评为优秀的乡（镇）街道和区直有关部门为良好；综合得分70分以上80分以下的乡（镇）和</w:t>
      </w:r>
      <w:r>
        <w:rPr>
          <w:rFonts w:hint="eastAsia" w:ascii="仿宋_GB2312" w:eastAsia="仿宋_GB2312"/>
          <w:sz w:val="32"/>
          <w:szCs w:val="32"/>
          <w:lang w:eastAsia="zh-CN"/>
        </w:rPr>
        <w:t>区</w:t>
      </w:r>
      <w:r>
        <w:rPr>
          <w:rFonts w:hint="eastAsia" w:ascii="仿宋_GB2312" w:eastAsia="仿宋_GB2312"/>
          <w:sz w:val="32"/>
          <w:szCs w:val="32"/>
          <w:lang w:eastAsia="zh-Hans"/>
        </w:rPr>
        <w:t>直有关部门为合格；综合得分60分以下的乡（镇）和区直有关部门为不合格。</w:t>
      </w:r>
    </w:p>
    <w:p w14:paraId="39B35A05">
      <w:pPr>
        <w:pStyle w:val="38"/>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lang w:eastAsia="zh-Hans"/>
        </w:rPr>
      </w:pPr>
      <w:r>
        <w:rPr>
          <w:rFonts w:hint="eastAsia" w:ascii="黑体" w:hAnsi="黑体" w:eastAsia="黑体"/>
          <w:sz w:val="32"/>
          <w:szCs w:val="32"/>
          <w:lang w:eastAsia="zh-Hans"/>
        </w:rPr>
        <w:t>第十一条</w:t>
      </w:r>
      <w:r>
        <w:rPr>
          <w:rFonts w:hint="eastAsia" w:ascii="仿宋_GB2312" w:eastAsia="仿宋_GB2312"/>
          <w:sz w:val="32"/>
          <w:szCs w:val="32"/>
          <w:lang w:eastAsia="zh-CN"/>
        </w:rPr>
        <w:t xml:space="preserve"> </w:t>
      </w:r>
      <w:r>
        <w:rPr>
          <w:rFonts w:hint="eastAsia" w:ascii="仿宋_GB2312" w:eastAsia="仿宋_GB2312"/>
          <w:sz w:val="32"/>
          <w:szCs w:val="32"/>
          <w:lang w:eastAsia="zh-Hans"/>
        </w:rPr>
        <w:t>根据对乡（镇）街道、区直部门考核情况由考核办向区委、区政府推荐优秀单位，原则上推荐名额按所辖乡（镇）街道、区直部门数量的</w:t>
      </w:r>
      <w:r>
        <w:rPr>
          <w:rFonts w:ascii="仿宋_GB2312" w:eastAsia="仿宋_GB2312"/>
          <w:sz w:val="32"/>
          <w:szCs w:val="32"/>
          <w:lang w:eastAsia="zh-Hans"/>
        </w:rPr>
        <w:t>30</w:t>
      </w:r>
      <w:r>
        <w:rPr>
          <w:rFonts w:hint="eastAsia" w:ascii="仿宋_GB2312" w:eastAsia="仿宋_GB2312"/>
          <w:sz w:val="32"/>
          <w:szCs w:val="32"/>
          <w:lang w:eastAsia="zh-Hans"/>
        </w:rPr>
        <w:t>%（四舍五入，最少可报</w:t>
      </w:r>
      <w:r>
        <w:rPr>
          <w:rFonts w:hint="eastAsia" w:ascii="仿宋_GB2312" w:eastAsia="仿宋_GB2312"/>
          <w:sz w:val="32"/>
          <w:szCs w:val="32"/>
          <w:lang w:eastAsia="zh-CN"/>
        </w:rPr>
        <w:t>1个</w:t>
      </w:r>
      <w:r>
        <w:rPr>
          <w:rFonts w:hint="eastAsia" w:ascii="仿宋_GB2312" w:eastAsia="仿宋_GB2312"/>
          <w:sz w:val="32"/>
          <w:szCs w:val="32"/>
          <w:lang w:eastAsia="zh-Hans"/>
        </w:rPr>
        <w:t>）确定。</w:t>
      </w:r>
    </w:p>
    <w:p w14:paraId="765F9A4E">
      <w:pPr>
        <w:pStyle w:val="38"/>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lang w:eastAsia="zh-CN"/>
        </w:rPr>
      </w:pPr>
      <w:r>
        <w:rPr>
          <w:rFonts w:hint="eastAsia" w:ascii="黑体" w:hAnsi="黑体" w:eastAsia="黑体"/>
          <w:sz w:val="32"/>
          <w:szCs w:val="32"/>
          <w:lang w:eastAsia="zh-Hans"/>
        </w:rPr>
        <w:t>第十二条</w:t>
      </w:r>
      <w:r>
        <w:rPr>
          <w:rFonts w:hint="eastAsia" w:ascii="仿宋_GB2312" w:eastAsia="仿宋_GB2312"/>
          <w:sz w:val="32"/>
          <w:szCs w:val="32"/>
          <w:lang w:eastAsia="zh-CN"/>
        </w:rPr>
        <w:t xml:space="preserve"> </w:t>
      </w:r>
      <w:r>
        <w:rPr>
          <w:rFonts w:hint="eastAsia" w:ascii="仿宋_GB2312" w:eastAsia="仿宋_GB2312"/>
          <w:sz w:val="32"/>
          <w:szCs w:val="32"/>
          <w:lang w:eastAsia="zh-Hans"/>
        </w:rPr>
        <w:t>在健全体制机制、加强基层基础建设、创新工作举措、组织抢险救援、完成重点工作任务等方面取得显著成绩的，给予适当加分，所加分值仅用于同排名优先排位。</w:t>
      </w:r>
    </w:p>
    <w:p w14:paraId="109B948B">
      <w:pPr>
        <w:pStyle w:val="38"/>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lang w:eastAsia="zh-Hans"/>
        </w:rPr>
      </w:pPr>
      <w:r>
        <w:rPr>
          <w:rFonts w:hint="eastAsia" w:ascii="黑体" w:hAnsi="黑体" w:eastAsia="黑体"/>
          <w:sz w:val="32"/>
          <w:szCs w:val="32"/>
          <w:lang w:eastAsia="zh-Hans"/>
        </w:rPr>
        <w:t>第十三条</w:t>
      </w:r>
      <w:r>
        <w:rPr>
          <w:rFonts w:hint="eastAsia" w:ascii="仿宋_GB2312" w:eastAsia="仿宋_GB2312"/>
          <w:sz w:val="32"/>
          <w:szCs w:val="32"/>
          <w:lang w:eastAsia="zh-CN"/>
        </w:rPr>
        <w:t xml:space="preserve">  </w:t>
      </w:r>
      <w:r>
        <w:rPr>
          <w:rFonts w:hint="eastAsia" w:ascii="仿宋_GB2312" w:eastAsia="仿宋_GB2312"/>
          <w:sz w:val="32"/>
          <w:szCs w:val="32"/>
          <w:lang w:eastAsia="zh-Hans"/>
        </w:rPr>
        <w:t>有下列情形之一的，不能评为优秀：</w:t>
      </w:r>
    </w:p>
    <w:p w14:paraId="35ADD414">
      <w:pPr>
        <w:pStyle w:val="38"/>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lang w:eastAsia="zh-Hans"/>
        </w:rPr>
      </w:pPr>
      <w:r>
        <w:rPr>
          <w:rFonts w:hint="eastAsia" w:ascii="仿宋_GB2312" w:eastAsia="仿宋_GB2312"/>
          <w:sz w:val="32"/>
          <w:szCs w:val="32"/>
          <w:lang w:eastAsia="zh-Hans"/>
        </w:rPr>
        <w:t>1.依法履行安全监管、行业管理、业务管理、经营管理和出资监管职责的区直有关部门，所管理或监管的行业企业发生</w:t>
      </w:r>
      <w:r>
        <w:rPr>
          <w:rFonts w:hint="eastAsia" w:ascii="仿宋_GB2312" w:eastAsia="仿宋_GB2312"/>
          <w:sz w:val="32"/>
          <w:szCs w:val="32"/>
          <w:lang w:eastAsia="zh-CN"/>
        </w:rPr>
        <w:t>1</w:t>
      </w:r>
      <w:r>
        <w:rPr>
          <w:rFonts w:hint="eastAsia" w:ascii="仿宋_GB2312" w:eastAsia="仿宋_GB2312"/>
          <w:sz w:val="32"/>
          <w:szCs w:val="32"/>
          <w:lang w:eastAsia="zh-Hans"/>
        </w:rPr>
        <w:t>起一般死亡1人生产安全事故的；乡（镇）街道发生1起一般死亡1人生产安全事故的。</w:t>
      </w:r>
    </w:p>
    <w:p w14:paraId="1180E788">
      <w:pPr>
        <w:pStyle w:val="38"/>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lang w:eastAsia="zh-Hans"/>
        </w:rPr>
      </w:pPr>
      <w:r>
        <w:rPr>
          <w:rFonts w:hint="eastAsia" w:ascii="仿宋_GB2312" w:eastAsia="仿宋_GB2312"/>
          <w:sz w:val="32"/>
          <w:szCs w:val="32"/>
          <w:lang w:eastAsia="zh-Hans"/>
        </w:rPr>
        <w:t>2.乡（镇)街道森林火灾发生率突破3次/1万公顷、受害率突破0.5%、控制率突破1公顷以上/次，或查处率低于90%的。</w:t>
      </w:r>
    </w:p>
    <w:p w14:paraId="58815DAD">
      <w:pPr>
        <w:pStyle w:val="38"/>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lang w:eastAsia="zh-Hans"/>
        </w:rPr>
      </w:pPr>
      <w:r>
        <w:rPr>
          <w:rFonts w:hint="eastAsia" w:ascii="仿宋_GB2312" w:eastAsia="仿宋_GB2312"/>
          <w:sz w:val="32"/>
          <w:szCs w:val="32"/>
          <w:lang w:eastAsia="zh-Hans"/>
        </w:rPr>
        <w:t>3防灾减灾救灾自然灾害资金使用不当被纪委监委立案查处的。</w:t>
      </w:r>
    </w:p>
    <w:p w14:paraId="58F039F4">
      <w:pPr>
        <w:pStyle w:val="38"/>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lang w:eastAsia="zh-CN"/>
        </w:rPr>
      </w:pPr>
      <w:r>
        <w:rPr>
          <w:rFonts w:hint="eastAsia" w:ascii="仿宋_GB2312" w:eastAsia="仿宋_GB2312"/>
          <w:sz w:val="32"/>
          <w:szCs w:val="32"/>
          <w:lang w:eastAsia="zh-CN"/>
        </w:rPr>
        <w:t>4.消防火灾发生亡人火灾事故的。</w:t>
      </w:r>
    </w:p>
    <w:p w14:paraId="73F14CF5">
      <w:pPr>
        <w:pStyle w:val="38"/>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lang w:eastAsia="zh-CN"/>
        </w:rPr>
      </w:pPr>
      <w:r>
        <w:rPr>
          <w:rFonts w:hint="eastAsia" w:ascii="仿宋_GB2312" w:eastAsia="仿宋_GB2312"/>
          <w:sz w:val="32"/>
          <w:szCs w:val="32"/>
          <w:lang w:eastAsia="zh-CN"/>
        </w:rPr>
        <w:t>5.安全生产、消防、防灾减灾救灾或森林防灭火工作不力，被国务院安委会（办)或省委、省政府，市委、市政府，区委、区政府通报批评的。</w:t>
      </w:r>
      <w:r>
        <w:rPr>
          <w:rFonts w:hint="eastAsia" w:ascii="仿宋_GB2312" w:eastAsia="仿宋_GB2312"/>
          <w:sz w:val="32"/>
          <w:szCs w:val="32"/>
          <w:lang w:eastAsia="zh-CN"/>
        </w:rPr>
        <w:cr/>
      </w:r>
      <w:r>
        <w:rPr>
          <w:rFonts w:hint="eastAsia" w:ascii="仿宋_GB2312" w:eastAsia="仿宋_GB2312"/>
          <w:sz w:val="32"/>
          <w:szCs w:val="32"/>
          <w:lang w:eastAsia="zh-CN"/>
        </w:rPr>
        <w:t xml:space="preserve">    6.未完成省委、省政府、市委、市政府和区委、区政府部署的以上四项年度重点工作任务的。</w:t>
      </w:r>
    </w:p>
    <w:p w14:paraId="685AE119">
      <w:pPr>
        <w:pStyle w:val="38"/>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lang w:eastAsia="zh-CN"/>
        </w:rPr>
      </w:pPr>
      <w:r>
        <w:rPr>
          <w:rFonts w:hint="eastAsia" w:ascii="黑体" w:hAnsi="黑体" w:eastAsia="黑体"/>
          <w:sz w:val="32"/>
          <w:szCs w:val="32"/>
          <w:lang w:eastAsia="zh-CN"/>
        </w:rPr>
        <w:t>第十四条</w:t>
      </w:r>
      <w:r>
        <w:rPr>
          <w:rFonts w:hint="eastAsia" w:ascii="仿宋_GB2312" w:eastAsia="仿宋_GB2312"/>
          <w:sz w:val="32"/>
          <w:szCs w:val="32"/>
          <w:lang w:eastAsia="zh-CN"/>
        </w:rPr>
        <w:t xml:space="preserve"> 具有以下情形之一的，实行安全生产“一票否决”：</w:t>
      </w:r>
    </w:p>
    <w:p w14:paraId="7D6F87CA">
      <w:pPr>
        <w:pStyle w:val="38"/>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ascii="楷体" w:hAnsi="楷体" w:eastAsia="楷体"/>
          <w:sz w:val="32"/>
          <w:szCs w:val="32"/>
          <w:lang w:eastAsia="zh-CN"/>
        </w:rPr>
      </w:pPr>
      <w:r>
        <w:rPr>
          <w:rFonts w:hint="eastAsia" w:ascii="楷体" w:hAnsi="楷体" w:eastAsia="楷体"/>
          <w:b/>
          <w:bCs/>
          <w:sz w:val="32"/>
          <w:szCs w:val="32"/>
          <w:lang w:eastAsia="zh-CN"/>
        </w:rPr>
        <w:t>（一）生产安全方面：</w:t>
      </w:r>
    </w:p>
    <w:p w14:paraId="08047381">
      <w:pPr>
        <w:pStyle w:val="38"/>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lang w:eastAsia="zh-CN"/>
        </w:rPr>
      </w:pPr>
      <w:r>
        <w:rPr>
          <w:rFonts w:hint="eastAsia" w:ascii="仿宋_GB2312" w:eastAsia="仿宋_GB2312"/>
          <w:sz w:val="32"/>
          <w:szCs w:val="32"/>
          <w:lang w:eastAsia="zh-CN"/>
        </w:rPr>
        <w:t>1.依法履行安全监管、行业管理、业务管理、经营管理和出资监管职责的区直有关部门，所管理或监管的行业企业发生1起较大及以上生产安全事故或存在发生2起一般亡人生产安全事故或存在重大事故风险（隐患），因整改不力导致发生安全事故的。</w:t>
      </w:r>
    </w:p>
    <w:p w14:paraId="313D62FE">
      <w:pPr>
        <w:pStyle w:val="38"/>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lang w:eastAsia="zh-CN"/>
        </w:rPr>
      </w:pPr>
      <w:r>
        <w:rPr>
          <w:rFonts w:hint="eastAsia" w:ascii="仿宋_GB2312" w:eastAsia="仿宋_GB2312"/>
          <w:sz w:val="32"/>
          <w:szCs w:val="32"/>
          <w:lang w:eastAsia="zh-CN"/>
        </w:rPr>
        <w:t>2.乡（镇）街道发生1起较大及以上亡人生产安全事故或存在重大事故风险（隐患），因整改不力导致发生2起一般亡人安全事故的。</w:t>
      </w:r>
    </w:p>
    <w:p w14:paraId="5DA9BCE4">
      <w:pPr>
        <w:pStyle w:val="38"/>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lang w:eastAsia="zh-CN"/>
        </w:rPr>
      </w:pPr>
      <w:r>
        <w:rPr>
          <w:rFonts w:hint="eastAsia" w:ascii="仿宋_GB2312" w:eastAsia="仿宋_GB2312"/>
          <w:sz w:val="32"/>
          <w:szCs w:val="32"/>
          <w:lang w:eastAsia="zh-CN"/>
        </w:rPr>
        <w:t>3.乡（镇）街道、行业主管部门被查实一年内有2起以上瞒报事故的。</w:t>
      </w:r>
    </w:p>
    <w:p w14:paraId="4FB6493A">
      <w:pPr>
        <w:pStyle w:val="38"/>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ascii="仿宋_GB2312" w:eastAsia="仿宋_GB2312"/>
          <w:sz w:val="32"/>
          <w:szCs w:val="32"/>
          <w:lang w:eastAsia="zh-CN"/>
        </w:rPr>
      </w:pPr>
      <w:r>
        <w:rPr>
          <w:rFonts w:hint="eastAsia" w:ascii="楷体" w:hAnsi="楷体" w:eastAsia="楷体"/>
          <w:b/>
          <w:bCs/>
          <w:sz w:val="32"/>
          <w:szCs w:val="32"/>
          <w:lang w:eastAsia="zh-CN"/>
        </w:rPr>
        <w:t>（二)森林防灭火方面有以下情形之一，并经评估后列入森林防灭火重点管理乡（镇)的：</w:t>
      </w:r>
    </w:p>
    <w:p w14:paraId="3CE9F857">
      <w:pPr>
        <w:pStyle w:val="38"/>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lang w:eastAsia="zh-CN"/>
        </w:rPr>
      </w:pPr>
      <w:r>
        <w:rPr>
          <w:rFonts w:hint="eastAsia" w:ascii="仿宋_GB2312" w:eastAsia="仿宋_GB2312"/>
          <w:sz w:val="32"/>
          <w:szCs w:val="32"/>
          <w:lang w:eastAsia="zh-CN"/>
        </w:rPr>
        <w:t>1.发生受害森林面积500亩以上或者造成重大不良影响森林火灾的；</w:t>
      </w:r>
    </w:p>
    <w:p w14:paraId="662EA093">
      <w:pPr>
        <w:pStyle w:val="38"/>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lang w:eastAsia="zh-CN"/>
        </w:rPr>
      </w:pPr>
      <w:r>
        <w:rPr>
          <w:rFonts w:hint="eastAsia" w:ascii="仿宋_GB2312" w:eastAsia="仿宋_GB2312"/>
          <w:sz w:val="32"/>
          <w:szCs w:val="32"/>
          <w:lang w:eastAsia="zh-CN"/>
        </w:rPr>
        <w:t>2.因森林火灾造成死亡1人或者重伤3人以上的；</w:t>
      </w:r>
    </w:p>
    <w:p w14:paraId="4FFE15C1">
      <w:pPr>
        <w:pStyle w:val="38"/>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lang w:eastAsia="zh-CN"/>
        </w:rPr>
      </w:pPr>
      <w:r>
        <w:rPr>
          <w:rFonts w:hint="eastAsia" w:ascii="仿宋_GB2312" w:eastAsia="仿宋_GB2312"/>
          <w:sz w:val="32"/>
          <w:szCs w:val="32"/>
          <w:lang w:eastAsia="zh-CN"/>
        </w:rPr>
        <w:t>3.一个月内发生3起或者一个森林防火年度(10月1日至翌年9月30日)内发生6起以上森林火灾的；</w:t>
      </w:r>
    </w:p>
    <w:p w14:paraId="16D976E5">
      <w:pPr>
        <w:pStyle w:val="38"/>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lang w:eastAsia="zh-CN"/>
        </w:rPr>
      </w:pPr>
      <w:r>
        <w:rPr>
          <w:rFonts w:hint="eastAsia" w:ascii="仿宋_GB2312" w:eastAsia="仿宋_GB2312"/>
          <w:sz w:val="32"/>
          <w:szCs w:val="32"/>
          <w:lang w:eastAsia="zh-CN"/>
        </w:rPr>
        <w:t>4.一个月内发现火情热点5个以上的；</w:t>
      </w:r>
    </w:p>
    <w:p w14:paraId="5B7593FB">
      <w:pPr>
        <w:pStyle w:val="38"/>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lang w:eastAsia="zh-CN"/>
        </w:rPr>
      </w:pPr>
      <w:r>
        <w:rPr>
          <w:rFonts w:hint="eastAsia" w:ascii="仿宋_GB2312" w:eastAsia="仿宋_GB2312"/>
          <w:sz w:val="32"/>
          <w:szCs w:val="32"/>
          <w:lang w:eastAsia="zh-CN"/>
        </w:rPr>
        <w:t>5.工作中有弄虚作假行为、火灾数据严重失实的；</w:t>
      </w:r>
    </w:p>
    <w:p w14:paraId="26D49702">
      <w:pPr>
        <w:pStyle w:val="38"/>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lang w:eastAsia="zh-CN"/>
        </w:rPr>
      </w:pPr>
      <w:r>
        <w:rPr>
          <w:rFonts w:hint="eastAsia" w:ascii="仿宋_GB2312" w:eastAsia="仿宋_GB2312"/>
          <w:sz w:val="32"/>
          <w:szCs w:val="32"/>
          <w:lang w:eastAsia="zh-CN"/>
        </w:rPr>
        <w:t>6.被国家或省市区防灭火指挥部检查发现严重问题的。</w:t>
      </w:r>
    </w:p>
    <w:p w14:paraId="158D06F7">
      <w:pPr>
        <w:pStyle w:val="38"/>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ascii="楷体" w:hAnsi="楷体" w:eastAsia="楷体"/>
          <w:b/>
          <w:bCs/>
          <w:sz w:val="32"/>
          <w:szCs w:val="32"/>
          <w:lang w:eastAsia="zh-CN"/>
        </w:rPr>
      </w:pPr>
      <w:r>
        <w:rPr>
          <w:rFonts w:hint="eastAsia" w:ascii="楷体" w:hAnsi="楷体" w:eastAsia="楷体"/>
          <w:b/>
          <w:bCs/>
          <w:sz w:val="32"/>
          <w:szCs w:val="32"/>
          <w:lang w:eastAsia="zh-CN"/>
        </w:rPr>
        <w:t>(三)消防方面：</w:t>
      </w:r>
    </w:p>
    <w:p w14:paraId="26A3128F">
      <w:pPr>
        <w:pStyle w:val="38"/>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lang w:eastAsia="zh-CN"/>
        </w:rPr>
      </w:pPr>
      <w:r>
        <w:rPr>
          <w:rFonts w:hint="eastAsia" w:ascii="仿宋_GB2312" w:eastAsia="仿宋_GB2312"/>
          <w:sz w:val="32"/>
          <w:szCs w:val="32"/>
          <w:lang w:eastAsia="zh-CN"/>
        </w:rPr>
        <w:t>1.消防火灾发生1起较大及以上火灾安全事故或2起一般亡人火灾安全事故的。</w:t>
      </w:r>
    </w:p>
    <w:p w14:paraId="13254E33">
      <w:pPr>
        <w:pStyle w:val="38"/>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ascii="楷体" w:hAnsi="楷体" w:eastAsia="楷体"/>
          <w:b/>
          <w:bCs/>
          <w:sz w:val="32"/>
          <w:szCs w:val="32"/>
          <w:lang w:eastAsia="zh-CN"/>
        </w:rPr>
      </w:pPr>
      <w:r>
        <w:rPr>
          <w:rFonts w:hint="eastAsia" w:ascii="楷体" w:hAnsi="楷体" w:eastAsia="楷体"/>
          <w:b/>
          <w:bCs/>
          <w:sz w:val="32"/>
          <w:szCs w:val="32"/>
          <w:lang w:eastAsia="zh-CN"/>
        </w:rPr>
        <w:t>(四)防灾减灾救灾方面：</w:t>
      </w:r>
    </w:p>
    <w:p w14:paraId="71074523">
      <w:pPr>
        <w:pStyle w:val="38"/>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lang w:eastAsia="zh-CN"/>
        </w:rPr>
      </w:pPr>
      <w:r>
        <w:rPr>
          <w:rFonts w:hint="eastAsia" w:ascii="仿宋_GB2312" w:eastAsia="仿宋_GB2312"/>
          <w:sz w:val="32"/>
          <w:szCs w:val="32"/>
          <w:lang w:eastAsia="zh-CN"/>
        </w:rPr>
        <w:t>自然灾害由于工作不利导致死亡安全事故的。</w:t>
      </w:r>
    </w:p>
    <w:p w14:paraId="31635E35">
      <w:pPr>
        <w:pStyle w:val="38"/>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lang w:eastAsia="zh-CN"/>
        </w:rPr>
      </w:pPr>
      <w:r>
        <w:rPr>
          <w:rFonts w:hint="eastAsia" w:ascii="黑体" w:hAnsi="黑体" w:eastAsia="黑体"/>
          <w:sz w:val="32"/>
          <w:szCs w:val="32"/>
          <w:lang w:eastAsia="zh-CN"/>
        </w:rPr>
        <w:t>第十五条</w:t>
      </w:r>
      <w:r>
        <w:rPr>
          <w:rFonts w:hint="eastAsia" w:ascii="仿宋_GB2312" w:eastAsia="仿宋_GB2312"/>
          <w:sz w:val="32"/>
          <w:szCs w:val="32"/>
          <w:lang w:eastAsia="zh-CN"/>
        </w:rPr>
        <w:t xml:space="preserve"> 考核结果经区应急管理综合考核领导小组审定、报区政府同意后，由考核办向各乡（镇)街道、各有关部门通报，同时抄送区委组织部、区文明办等单位，并按照有关规定向社会公开。</w:t>
      </w:r>
    </w:p>
    <w:p w14:paraId="28DC6B93">
      <w:pPr>
        <w:pStyle w:val="38"/>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lang w:eastAsia="zh-CN"/>
        </w:rPr>
      </w:pPr>
      <w:r>
        <w:rPr>
          <w:rFonts w:hint="eastAsia" w:ascii="黑体" w:hAnsi="黑体" w:eastAsia="黑体"/>
          <w:sz w:val="32"/>
          <w:szCs w:val="32"/>
          <w:lang w:eastAsia="zh-CN"/>
        </w:rPr>
        <w:t>第十六条</w:t>
      </w:r>
      <w:r>
        <w:rPr>
          <w:rFonts w:hint="eastAsia" w:ascii="仿宋_GB2312" w:eastAsia="仿宋_GB2312"/>
          <w:sz w:val="32"/>
          <w:szCs w:val="32"/>
          <w:lang w:eastAsia="zh-CN"/>
        </w:rPr>
        <w:t xml:space="preserve"> 乡（镇)街道和区直有关部门考核等次为不合格的，一个月内制定整改措施，向区应急管理综合考核领导小组书面报告。由乡（镇）人民政府、街道办事处及区行业主管部门负责整改到位，考核办负责督促落实。</w:t>
      </w:r>
    </w:p>
    <w:p w14:paraId="7E78AAB4">
      <w:pPr>
        <w:pStyle w:val="38"/>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lang w:eastAsia="zh-CN"/>
        </w:rPr>
      </w:pPr>
      <w:r>
        <w:rPr>
          <w:rFonts w:hint="eastAsia" w:ascii="黑体" w:hAnsi="黑体" w:eastAsia="黑体"/>
          <w:sz w:val="32"/>
          <w:szCs w:val="32"/>
          <w:lang w:eastAsia="zh-CN"/>
        </w:rPr>
        <w:t>第十七条</w:t>
      </w:r>
      <w:r>
        <w:rPr>
          <w:rFonts w:hint="eastAsia" w:ascii="仿宋_GB2312" w:eastAsia="仿宋_GB2312"/>
          <w:sz w:val="32"/>
          <w:szCs w:val="32"/>
          <w:lang w:eastAsia="zh-CN"/>
        </w:rPr>
        <w:t xml:space="preserve"> 强化考核结果运用。考核结果被评为优秀、良好、合格、不合格的，在区委、区政府组织的综合性考核中，按照所赋予分值的100%、90%、80%、70%进行评分，被“一票否决”不得分。各单项考核内容，可在政策条件允许情况下，且不与应急管理综合考核结果相抵触的情况下，单独开展排名通报和表彰。</w:t>
      </w:r>
    </w:p>
    <w:p w14:paraId="168B6E0B">
      <w:pPr>
        <w:pStyle w:val="38"/>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lang w:eastAsia="zh-CN"/>
        </w:rPr>
      </w:pPr>
      <w:r>
        <w:rPr>
          <w:rFonts w:hint="eastAsia" w:ascii="黑体" w:hAnsi="黑体" w:eastAsia="黑体"/>
          <w:sz w:val="32"/>
          <w:szCs w:val="32"/>
          <w:lang w:eastAsia="zh-CN"/>
        </w:rPr>
        <w:t>第十八条</w:t>
      </w:r>
      <w:r>
        <w:rPr>
          <w:rFonts w:hint="eastAsia" w:ascii="仿宋_GB2312" w:eastAsia="仿宋_GB2312"/>
          <w:sz w:val="32"/>
          <w:szCs w:val="32"/>
          <w:lang w:eastAsia="zh-CN"/>
        </w:rPr>
        <w:t xml:space="preserve"> 安全生产“一票否决”结果运用。因安全生产工作方面被“一票否决”的，被否决的乡（镇）人民政府、街道办事处和区直有关部门当年不得被评为综合性先进单位，其班子成员不得评为先进个人；党政主要负责人和有关人员整改期间不得评先评优，不得提拔重用。对安全生产不合格乡（镇）街道和部门实行高质量发展考核评价“一票否决”。因森林防灭火工作方面被“一票否决”的，被否决的乡（镇）街道一年内不得被评为综合性先进单位，森林防灭火第一责任人和主要责任人整改期间不能评先评优，不得提拔重用。</w:t>
      </w:r>
    </w:p>
    <w:p w14:paraId="1B386011">
      <w:pPr>
        <w:pStyle w:val="38"/>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lang w:eastAsia="zh-CN"/>
        </w:rPr>
      </w:pPr>
      <w:r>
        <w:rPr>
          <w:rFonts w:hint="eastAsia" w:ascii="黑体" w:hAnsi="黑体" w:eastAsia="黑体"/>
          <w:sz w:val="32"/>
          <w:szCs w:val="32"/>
          <w:lang w:eastAsia="zh-CN"/>
        </w:rPr>
        <w:t>第十九条</w:t>
      </w:r>
      <w:r>
        <w:rPr>
          <w:rFonts w:hint="eastAsia" w:ascii="仿宋_GB2312" w:eastAsia="仿宋_GB2312"/>
          <w:sz w:val="32"/>
          <w:szCs w:val="32"/>
          <w:lang w:eastAsia="zh-CN"/>
        </w:rPr>
        <w:t xml:space="preserve"> 在考核工作中弄虚作假、瞒报谎报或消极应付造成考核结果失实的，予以降低考核等次、通报批评等惩处；情节严重的，依法依规追究相关人员责任。</w:t>
      </w:r>
    </w:p>
    <w:p w14:paraId="32E03FF4">
      <w:pPr>
        <w:pStyle w:val="38"/>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lang w:eastAsia="zh-CN"/>
        </w:rPr>
      </w:pPr>
      <w:r>
        <w:rPr>
          <w:rFonts w:hint="eastAsia" w:ascii="黑体" w:hAnsi="黑体" w:eastAsia="黑体"/>
          <w:sz w:val="32"/>
          <w:szCs w:val="32"/>
          <w:lang w:eastAsia="zh-CN"/>
        </w:rPr>
        <w:t>第二十条</w:t>
      </w:r>
      <w:r>
        <w:rPr>
          <w:rFonts w:hint="eastAsia" w:ascii="仿宋_GB2312" w:eastAsia="仿宋_GB2312"/>
          <w:sz w:val="32"/>
          <w:szCs w:val="32"/>
          <w:lang w:eastAsia="zh-CN"/>
        </w:rPr>
        <w:t xml:space="preserve"> 根据国家政策调整和省市区应急管理工作的需要，适时对本办法及考核内容、指标进行动态调整。</w:t>
      </w:r>
    </w:p>
    <w:p w14:paraId="2B324381">
      <w:pPr>
        <w:pStyle w:val="38"/>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lang w:eastAsia="zh-CN"/>
        </w:rPr>
      </w:pPr>
      <w:r>
        <w:rPr>
          <w:rFonts w:hint="eastAsia" w:ascii="黑体" w:hAnsi="黑体" w:eastAsia="黑体"/>
          <w:sz w:val="32"/>
          <w:szCs w:val="32"/>
          <w:lang w:eastAsia="zh-CN"/>
        </w:rPr>
        <w:t>第二十一条</w:t>
      </w:r>
      <w:r>
        <w:rPr>
          <w:rFonts w:hint="eastAsia" w:ascii="仿宋_GB2312" w:eastAsia="仿宋_GB2312"/>
          <w:sz w:val="32"/>
          <w:szCs w:val="32"/>
          <w:lang w:eastAsia="zh-CN"/>
        </w:rPr>
        <w:t xml:space="preserve"> 本办法所称的“以上”包含本数，所称的“以下”不包含本数。</w:t>
      </w:r>
    </w:p>
    <w:p w14:paraId="7B1BD2DC">
      <w:pPr>
        <w:pStyle w:val="38"/>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_GB2312" w:eastAsia="仿宋_GB2312"/>
          <w:sz w:val="32"/>
          <w:szCs w:val="32"/>
          <w:lang w:eastAsia="zh-CN"/>
        </w:rPr>
      </w:pPr>
      <w:r>
        <w:rPr>
          <w:rFonts w:hint="eastAsia" w:ascii="黑体" w:hAnsi="黑体" w:eastAsia="黑体"/>
          <w:sz w:val="32"/>
          <w:szCs w:val="32"/>
          <w:lang w:eastAsia="zh-CN"/>
        </w:rPr>
        <w:t>第二十二条</w:t>
      </w:r>
      <w:r>
        <w:rPr>
          <w:rFonts w:hint="eastAsia" w:ascii="仿宋_GB2312" w:eastAsia="仿宋_GB2312"/>
          <w:sz w:val="32"/>
          <w:szCs w:val="32"/>
          <w:lang w:eastAsia="zh-CN"/>
        </w:rPr>
        <w:t xml:space="preserve"> 本办法自印发之日起施行。其他相关考核办法同时废止。</w:t>
      </w:r>
    </w:p>
    <w:p w14:paraId="75000A3D">
      <w:pPr>
        <w:pStyle w:val="38"/>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sz w:val="32"/>
          <w:szCs w:val="32"/>
          <w:lang w:eastAsia="zh-CN"/>
        </w:rPr>
      </w:pPr>
      <w:r>
        <w:rPr>
          <w:rFonts w:hint="eastAsia" w:ascii="黑体" w:hAnsi="黑体" w:eastAsia="黑体"/>
          <w:sz w:val="32"/>
          <w:szCs w:val="32"/>
          <w:lang w:eastAsia="zh-CN"/>
        </w:rPr>
        <w:t>第二十三条</w:t>
      </w:r>
      <w:r>
        <w:rPr>
          <w:rFonts w:hint="eastAsia" w:ascii="仿宋_GB2312" w:eastAsia="仿宋_GB2312"/>
          <w:sz w:val="32"/>
          <w:szCs w:val="32"/>
          <w:lang w:eastAsia="zh-CN"/>
        </w:rPr>
        <w:t xml:space="preserve"> 本办法由区应急管理综合考核领导小组办公室负责解释。</w:t>
      </w:r>
    </w:p>
    <w:p w14:paraId="5DED0578">
      <w:pPr>
        <w:tabs>
          <w:tab w:val="left" w:pos="545"/>
        </w:tabs>
        <w:ind w:firstLine="640" w:firstLineChars="200"/>
        <w:jc w:val="both"/>
        <w:textAlignment w:val="baseline"/>
        <w:rPr>
          <w:rStyle w:val="43"/>
          <w:rFonts w:hint="eastAsia" w:ascii="仿宋" w:hAnsi="仿宋" w:eastAsia="仿宋" w:cs="仿宋"/>
          <w:bCs/>
          <w:kern w:val="2"/>
          <w:sz w:val="32"/>
          <w:szCs w:val="32"/>
          <w:lang w:val="en-US" w:eastAsia="zh-CN" w:bidi="ar-SA"/>
        </w:rPr>
      </w:pPr>
    </w:p>
    <w:p w14:paraId="642E0BA0">
      <w:pPr>
        <w:tabs>
          <w:tab w:val="left" w:pos="545"/>
        </w:tabs>
        <w:ind w:firstLine="640" w:firstLineChars="200"/>
        <w:jc w:val="both"/>
        <w:textAlignment w:val="baseline"/>
        <w:rPr>
          <w:rStyle w:val="43"/>
          <w:rFonts w:hint="eastAsia" w:ascii="仿宋" w:hAnsi="仿宋" w:eastAsia="仿宋" w:cs="仿宋"/>
          <w:bCs/>
          <w:kern w:val="2"/>
          <w:sz w:val="32"/>
          <w:szCs w:val="32"/>
          <w:lang w:val="en-US" w:eastAsia="zh-CN" w:bidi="ar-SA"/>
        </w:rPr>
      </w:pPr>
    </w:p>
    <w:p w14:paraId="5E4B2088">
      <w:pPr>
        <w:tabs>
          <w:tab w:val="left" w:pos="545"/>
        </w:tabs>
        <w:ind w:firstLine="640" w:firstLineChars="200"/>
        <w:jc w:val="both"/>
        <w:textAlignment w:val="baseline"/>
        <w:rPr>
          <w:rStyle w:val="43"/>
          <w:rFonts w:hint="eastAsia" w:ascii="仿宋" w:hAnsi="仿宋" w:eastAsia="仿宋" w:cs="仿宋"/>
          <w:bCs/>
          <w:kern w:val="2"/>
          <w:sz w:val="32"/>
          <w:szCs w:val="32"/>
          <w:lang w:val="en-US" w:eastAsia="zh-CN" w:bidi="ar-SA"/>
        </w:rPr>
      </w:pPr>
    </w:p>
    <w:p w14:paraId="681B7C0E">
      <w:pPr>
        <w:tabs>
          <w:tab w:val="left" w:pos="545"/>
        </w:tabs>
        <w:ind w:firstLine="640" w:firstLineChars="200"/>
        <w:jc w:val="both"/>
        <w:textAlignment w:val="baseline"/>
        <w:rPr>
          <w:rStyle w:val="43"/>
          <w:rFonts w:hint="eastAsia" w:ascii="仿宋" w:hAnsi="仿宋" w:eastAsia="仿宋" w:cs="仿宋"/>
          <w:bCs/>
          <w:kern w:val="2"/>
          <w:sz w:val="32"/>
          <w:szCs w:val="32"/>
          <w:lang w:val="en-US" w:eastAsia="zh-CN" w:bidi="ar-SA"/>
        </w:rPr>
      </w:pPr>
    </w:p>
    <w:p w14:paraId="7B65D190">
      <w:pPr>
        <w:tabs>
          <w:tab w:val="left" w:pos="545"/>
        </w:tabs>
        <w:ind w:firstLine="640" w:firstLineChars="200"/>
        <w:jc w:val="both"/>
        <w:textAlignment w:val="baseline"/>
        <w:rPr>
          <w:rStyle w:val="43"/>
          <w:rFonts w:hint="eastAsia" w:ascii="仿宋" w:hAnsi="仿宋" w:eastAsia="仿宋" w:cs="仿宋"/>
          <w:bCs/>
          <w:kern w:val="2"/>
          <w:sz w:val="32"/>
          <w:szCs w:val="32"/>
          <w:lang w:val="en-US" w:eastAsia="zh-CN" w:bidi="ar-SA"/>
        </w:rPr>
      </w:pPr>
    </w:p>
    <w:p w14:paraId="01B08F94">
      <w:pPr>
        <w:pStyle w:val="16"/>
        <w:keepNext w:val="0"/>
        <w:keepLines w:val="0"/>
        <w:pageBreakBefore w:val="0"/>
        <w:widowControl/>
        <w:kinsoku/>
        <w:wordWrap/>
        <w:overflowPunct/>
        <w:topLinePunct w:val="0"/>
        <w:autoSpaceDE/>
        <w:autoSpaceDN/>
        <w:bidi w:val="0"/>
        <w:adjustRightInd/>
        <w:snapToGrid/>
        <w:spacing w:beforeAutospacing="0" w:afterAutospacing="0" w:line="700" w:lineRule="exact"/>
        <w:jc w:val="both"/>
        <w:textAlignment w:val="auto"/>
        <w:rPr>
          <w:rStyle w:val="22"/>
          <w:rFonts w:hint="eastAsia" w:ascii="方正小标宋简体" w:hAnsi="方正小标宋简体" w:eastAsia="方正小标宋简体" w:cs="方正小标宋简体"/>
          <w:b w:val="0"/>
          <w:bCs/>
          <w:sz w:val="44"/>
          <w:szCs w:val="44"/>
        </w:rPr>
      </w:pPr>
    </w:p>
    <w:p w14:paraId="2F553D77">
      <w:pPr>
        <w:pStyle w:val="16"/>
        <w:keepNext w:val="0"/>
        <w:keepLines w:val="0"/>
        <w:pageBreakBefore w:val="0"/>
        <w:widowControl/>
        <w:kinsoku/>
        <w:wordWrap/>
        <w:overflowPunct/>
        <w:topLinePunct w:val="0"/>
        <w:autoSpaceDE/>
        <w:autoSpaceDN/>
        <w:bidi w:val="0"/>
        <w:adjustRightInd/>
        <w:snapToGrid/>
        <w:spacing w:beforeAutospacing="0" w:afterAutospacing="0" w:line="700" w:lineRule="exact"/>
        <w:jc w:val="both"/>
        <w:textAlignment w:val="auto"/>
        <w:rPr>
          <w:rStyle w:val="22"/>
          <w:rFonts w:hint="eastAsia" w:ascii="方正小标宋简体" w:hAnsi="方正小标宋简体" w:eastAsia="方正小标宋简体" w:cs="方正小标宋简体"/>
          <w:b w:val="0"/>
          <w:bCs/>
          <w:sz w:val="44"/>
          <w:szCs w:val="44"/>
        </w:rPr>
      </w:pPr>
    </w:p>
    <w:p w14:paraId="64DC4447">
      <w:pPr>
        <w:pStyle w:val="16"/>
        <w:keepNext w:val="0"/>
        <w:keepLines w:val="0"/>
        <w:pageBreakBefore w:val="0"/>
        <w:widowControl/>
        <w:kinsoku/>
        <w:wordWrap/>
        <w:overflowPunct/>
        <w:topLinePunct w:val="0"/>
        <w:autoSpaceDE/>
        <w:autoSpaceDN/>
        <w:bidi w:val="0"/>
        <w:adjustRightInd/>
        <w:snapToGrid/>
        <w:spacing w:beforeAutospacing="0" w:afterAutospacing="0" w:line="700" w:lineRule="exact"/>
        <w:jc w:val="both"/>
        <w:textAlignment w:val="auto"/>
        <w:rPr>
          <w:rStyle w:val="22"/>
          <w:rFonts w:hint="eastAsia" w:ascii="方正小标宋简体" w:hAnsi="方正小标宋简体" w:eastAsia="方正小标宋简体" w:cs="方正小标宋简体"/>
          <w:b w:val="0"/>
          <w:bCs/>
          <w:sz w:val="44"/>
          <w:szCs w:val="44"/>
        </w:rPr>
      </w:pPr>
    </w:p>
    <w:p w14:paraId="06BC4B9D">
      <w:pPr>
        <w:pStyle w:val="16"/>
        <w:keepNext w:val="0"/>
        <w:keepLines w:val="0"/>
        <w:pageBreakBefore w:val="0"/>
        <w:widowControl/>
        <w:kinsoku/>
        <w:wordWrap/>
        <w:overflowPunct/>
        <w:topLinePunct w:val="0"/>
        <w:autoSpaceDE/>
        <w:autoSpaceDN/>
        <w:bidi w:val="0"/>
        <w:adjustRightInd/>
        <w:snapToGrid/>
        <w:spacing w:beforeAutospacing="0" w:afterAutospacing="0" w:line="700" w:lineRule="exact"/>
        <w:jc w:val="both"/>
        <w:textAlignment w:val="auto"/>
        <w:rPr>
          <w:rStyle w:val="22"/>
          <w:rFonts w:hint="eastAsia" w:ascii="方正小标宋简体" w:hAnsi="方正小标宋简体" w:eastAsia="方正小标宋简体" w:cs="方正小标宋简体"/>
          <w:b w:val="0"/>
          <w:bCs/>
          <w:sz w:val="44"/>
          <w:szCs w:val="44"/>
        </w:rPr>
      </w:pPr>
    </w:p>
    <w:p w14:paraId="06E2D1F1">
      <w:pPr>
        <w:pStyle w:val="16"/>
        <w:keepNext w:val="0"/>
        <w:keepLines w:val="0"/>
        <w:pageBreakBefore w:val="0"/>
        <w:widowControl/>
        <w:kinsoku/>
        <w:wordWrap/>
        <w:overflowPunct/>
        <w:topLinePunct w:val="0"/>
        <w:autoSpaceDE/>
        <w:autoSpaceDN/>
        <w:bidi w:val="0"/>
        <w:adjustRightInd/>
        <w:snapToGrid/>
        <w:spacing w:beforeAutospacing="0" w:afterAutospacing="0" w:line="700" w:lineRule="exact"/>
        <w:jc w:val="both"/>
        <w:textAlignment w:val="auto"/>
        <w:rPr>
          <w:rStyle w:val="22"/>
          <w:rFonts w:hint="eastAsia" w:ascii="方正小标宋简体" w:hAnsi="方正小标宋简体" w:eastAsia="方正小标宋简体" w:cs="方正小标宋简体"/>
          <w:b w:val="0"/>
          <w:bCs/>
          <w:sz w:val="44"/>
          <w:szCs w:val="44"/>
        </w:rPr>
      </w:pPr>
    </w:p>
    <w:p w14:paraId="021DC762">
      <w:pPr>
        <w:pStyle w:val="16"/>
        <w:keepNext w:val="0"/>
        <w:keepLines w:val="0"/>
        <w:pageBreakBefore w:val="0"/>
        <w:widowControl/>
        <w:kinsoku/>
        <w:wordWrap/>
        <w:overflowPunct/>
        <w:topLinePunct w:val="0"/>
        <w:autoSpaceDE/>
        <w:autoSpaceDN/>
        <w:bidi w:val="0"/>
        <w:adjustRightInd/>
        <w:snapToGrid/>
        <w:spacing w:beforeAutospacing="0" w:afterAutospacing="0" w:line="700" w:lineRule="exact"/>
        <w:jc w:val="both"/>
        <w:textAlignment w:val="auto"/>
        <w:rPr>
          <w:rStyle w:val="22"/>
          <w:rFonts w:hint="eastAsia" w:ascii="方正小标宋简体" w:hAnsi="方正小标宋简体" w:eastAsia="方正小标宋简体" w:cs="方正小标宋简体"/>
          <w:b w:val="0"/>
          <w:bCs/>
          <w:sz w:val="44"/>
          <w:szCs w:val="44"/>
        </w:rPr>
      </w:pPr>
    </w:p>
    <w:p w14:paraId="2F099076">
      <w:pPr>
        <w:pStyle w:val="16"/>
        <w:keepNext w:val="0"/>
        <w:keepLines w:val="0"/>
        <w:pageBreakBefore w:val="0"/>
        <w:widowControl/>
        <w:kinsoku/>
        <w:wordWrap/>
        <w:overflowPunct/>
        <w:topLinePunct w:val="0"/>
        <w:autoSpaceDE/>
        <w:autoSpaceDN/>
        <w:bidi w:val="0"/>
        <w:adjustRightInd/>
        <w:snapToGrid/>
        <w:spacing w:beforeAutospacing="0" w:afterAutospacing="0" w:line="700" w:lineRule="exact"/>
        <w:jc w:val="both"/>
        <w:textAlignment w:val="auto"/>
        <w:rPr>
          <w:rStyle w:val="22"/>
          <w:rFonts w:hint="eastAsia" w:ascii="方正小标宋简体" w:hAnsi="方正小标宋简体" w:eastAsia="方正小标宋简体" w:cs="方正小标宋简体"/>
          <w:b w:val="0"/>
          <w:bCs/>
          <w:sz w:val="44"/>
          <w:szCs w:val="44"/>
        </w:rPr>
      </w:pPr>
    </w:p>
    <w:p w14:paraId="7C9E8D70">
      <w:pPr>
        <w:pStyle w:val="16"/>
        <w:widowControl/>
        <w:spacing w:beforeAutospacing="0" w:afterAutospacing="0" w:line="600" w:lineRule="exact"/>
        <w:jc w:val="center"/>
        <w:rPr>
          <w:rStyle w:val="22"/>
          <w:rFonts w:hint="eastAsia" w:ascii="方正小标宋简体" w:hAnsi="方正小标宋简体" w:eastAsia="方正小标宋简体" w:cs="方正小标宋简体"/>
          <w:b w:val="0"/>
          <w:bCs/>
          <w:sz w:val="44"/>
          <w:szCs w:val="44"/>
        </w:rPr>
      </w:pPr>
      <w:r>
        <w:rPr>
          <w:rStyle w:val="22"/>
          <w:rFonts w:hint="eastAsia" w:ascii="方正小标宋简体" w:hAnsi="方正小标宋简体" w:eastAsia="方正小标宋简体" w:cs="方正小标宋简体"/>
          <w:b w:val="0"/>
          <w:bCs/>
          <w:sz w:val="44"/>
          <w:szCs w:val="44"/>
          <w:lang w:val="en-US" w:eastAsia="zh-CN"/>
        </w:rPr>
        <w:t>关于印发《</w:t>
      </w:r>
      <w:r>
        <w:rPr>
          <w:rStyle w:val="22"/>
          <w:rFonts w:hint="eastAsia" w:ascii="方正小标宋简体" w:hAnsi="方正小标宋简体" w:eastAsia="方正小标宋简体" w:cs="方正小标宋简体"/>
          <w:b w:val="0"/>
          <w:bCs/>
          <w:sz w:val="44"/>
          <w:szCs w:val="44"/>
        </w:rPr>
        <w:t>昌江区制造业重点产业链现代化</w:t>
      </w:r>
    </w:p>
    <w:p w14:paraId="6356BF30">
      <w:pPr>
        <w:pStyle w:val="16"/>
        <w:widowControl/>
        <w:spacing w:beforeAutospacing="0" w:afterAutospacing="0" w:line="600" w:lineRule="exact"/>
        <w:jc w:val="center"/>
        <w:rPr>
          <w:rStyle w:val="22"/>
          <w:rFonts w:hint="default" w:ascii="方正小标宋简体" w:hAnsi="方正小标宋简体" w:eastAsia="方正小标宋简体" w:cs="方正小标宋简体"/>
          <w:b w:val="0"/>
          <w:bCs/>
          <w:sz w:val="44"/>
          <w:szCs w:val="44"/>
          <w:lang w:val="en-US" w:eastAsia="zh-CN"/>
        </w:rPr>
      </w:pPr>
      <w:r>
        <w:rPr>
          <w:rStyle w:val="22"/>
          <w:rFonts w:hint="eastAsia" w:ascii="方正小标宋简体" w:hAnsi="方正小标宋简体" w:eastAsia="方正小标宋简体" w:cs="方正小标宋简体"/>
          <w:b w:val="0"/>
          <w:bCs/>
          <w:sz w:val="44"/>
          <w:szCs w:val="44"/>
        </w:rPr>
        <w:t>建设行动方案（2024-2026年）</w:t>
      </w:r>
      <w:r>
        <w:rPr>
          <w:rStyle w:val="22"/>
          <w:rFonts w:hint="eastAsia" w:ascii="方正小标宋简体" w:hAnsi="方正小标宋简体" w:eastAsia="方正小标宋简体" w:cs="方正小标宋简体"/>
          <w:b w:val="0"/>
          <w:bCs/>
          <w:sz w:val="44"/>
          <w:szCs w:val="44"/>
          <w:lang w:eastAsia="zh-CN"/>
        </w:rPr>
        <w:t>》</w:t>
      </w:r>
      <w:r>
        <w:rPr>
          <w:rStyle w:val="22"/>
          <w:rFonts w:hint="eastAsia" w:ascii="方正小标宋简体" w:hAnsi="方正小标宋简体" w:eastAsia="方正小标宋简体" w:cs="方正小标宋简体"/>
          <w:b w:val="0"/>
          <w:bCs/>
          <w:sz w:val="44"/>
          <w:szCs w:val="44"/>
          <w:lang w:val="en-US" w:eastAsia="zh-CN"/>
        </w:rPr>
        <w:t>的通知</w:t>
      </w:r>
    </w:p>
    <w:p w14:paraId="46A6260F">
      <w:pPr>
        <w:pStyle w:val="16"/>
        <w:widowControl/>
        <w:spacing w:beforeAutospacing="0" w:afterAutospacing="0" w:line="600" w:lineRule="exact"/>
        <w:jc w:val="both"/>
        <w:rPr>
          <w:rStyle w:val="22"/>
          <w:rFonts w:hint="eastAsia" w:ascii="方正小标宋简体" w:hAnsi="方正小标宋简体" w:eastAsia="方正小标宋简体" w:cs="方正小标宋简体"/>
          <w:b w:val="0"/>
          <w:bCs/>
          <w:sz w:val="44"/>
          <w:szCs w:val="44"/>
        </w:rPr>
      </w:pPr>
    </w:p>
    <w:p w14:paraId="4A8CA33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24"/>
          <w:lang w:val="en-US" w:eastAsia="zh-CN"/>
          <w14:ligatures w14:val="none"/>
        </w:rPr>
      </w:pPr>
      <w:r>
        <w:rPr>
          <w:rFonts w:hint="eastAsia" w:ascii="仿宋_GB2312" w:hAnsi="仿宋_GB2312" w:eastAsia="仿宋_GB2312" w:cs="仿宋_GB2312"/>
          <w:sz w:val="32"/>
          <w:szCs w:val="24"/>
          <w:lang w:val="en-US" w:eastAsia="zh-CN"/>
          <w14:ligatures w14:val="none"/>
        </w:rPr>
        <w:t>各乡（镇）人民政府、街道办事处，区直各部门，昌江产业园管理委员会：</w:t>
      </w:r>
    </w:p>
    <w:p w14:paraId="737A3E89">
      <w:pPr>
        <w:pStyle w:val="16"/>
        <w:widowControl/>
        <w:spacing w:beforeAutospacing="0" w:afterAutospacing="0" w:line="600" w:lineRule="exact"/>
        <w:ind w:firstLine="640" w:firstLineChars="200"/>
        <w:jc w:val="both"/>
        <w:rPr>
          <w:rFonts w:hint="default" w:ascii="仿宋_GB2312" w:hAnsi="仿宋_GB2312" w:eastAsia="仿宋_GB2312" w:cs="仿宋_GB2312"/>
          <w:sz w:val="32"/>
          <w:szCs w:val="24"/>
          <w:lang w:val="en-US" w:eastAsia="zh-CN"/>
          <w14:ligatures w14:val="none"/>
        </w:rPr>
      </w:pPr>
      <w:r>
        <w:rPr>
          <w:rFonts w:hint="eastAsia" w:ascii="仿宋_GB2312" w:hAnsi="仿宋_GB2312" w:eastAsia="仿宋_GB2312" w:cs="仿宋_GB2312"/>
          <w:sz w:val="32"/>
          <w:szCs w:val="24"/>
          <w:lang w:val="en-US" w:eastAsia="zh-CN"/>
          <w14:ligatures w14:val="none"/>
        </w:rPr>
        <w:t>现将《</w:t>
      </w:r>
      <w:r>
        <w:rPr>
          <w:rStyle w:val="22"/>
          <w:rFonts w:hint="eastAsia" w:ascii="仿宋_GB2312" w:hAnsi="仿宋_GB2312" w:eastAsia="仿宋_GB2312" w:cs="仿宋_GB2312"/>
          <w:b w:val="0"/>
          <w:bCs/>
          <w:sz w:val="32"/>
          <w:szCs w:val="32"/>
        </w:rPr>
        <w:t>景德镇市昌江区制造业重点产业链现代化建设行动方案（2024-2026年）</w:t>
      </w:r>
      <w:r>
        <w:rPr>
          <w:rFonts w:hint="eastAsia" w:ascii="仿宋_GB2312" w:hAnsi="仿宋_GB2312" w:eastAsia="仿宋_GB2312" w:cs="仿宋_GB2312"/>
          <w:sz w:val="32"/>
          <w:szCs w:val="24"/>
          <w:lang w:val="en-US" w:eastAsia="zh-CN"/>
          <w14:ligatures w14:val="none"/>
        </w:rPr>
        <w:t>》印发给你们，请认真贯彻执行。</w:t>
      </w:r>
    </w:p>
    <w:p w14:paraId="35963AE2">
      <w:pPr>
        <w:pStyle w:val="16"/>
        <w:widowControl/>
        <w:spacing w:beforeAutospacing="0" w:afterAutospacing="0" w:line="600" w:lineRule="exact"/>
        <w:jc w:val="center"/>
        <w:rPr>
          <w:rStyle w:val="22"/>
          <w:rFonts w:hint="eastAsia" w:ascii="方正小标宋简体" w:hAnsi="方正小标宋简体" w:eastAsia="方正小标宋简体" w:cs="方正小标宋简体"/>
          <w:b w:val="0"/>
          <w:bCs/>
          <w:sz w:val="44"/>
          <w:szCs w:val="44"/>
        </w:rPr>
      </w:pPr>
    </w:p>
    <w:p w14:paraId="2992A9BB">
      <w:pPr>
        <w:pStyle w:val="16"/>
        <w:widowControl/>
        <w:spacing w:beforeAutospacing="0" w:afterAutospacing="0" w:line="600" w:lineRule="exact"/>
        <w:jc w:val="center"/>
        <w:rPr>
          <w:rStyle w:val="22"/>
          <w:rFonts w:hint="eastAsia" w:ascii="方正小标宋简体" w:hAnsi="方正小标宋简体" w:eastAsia="方正小标宋简体" w:cs="方正小标宋简体"/>
          <w:b w:val="0"/>
          <w:bCs/>
          <w:sz w:val="44"/>
          <w:szCs w:val="44"/>
        </w:rPr>
      </w:pPr>
    </w:p>
    <w:p w14:paraId="17EB595D">
      <w:pPr>
        <w:pStyle w:val="16"/>
        <w:widowControl/>
        <w:spacing w:beforeAutospacing="0" w:afterAutospacing="0" w:line="600" w:lineRule="exact"/>
        <w:jc w:val="center"/>
        <w:rPr>
          <w:rStyle w:val="22"/>
          <w:rFonts w:hint="default" w:ascii="仿宋_GB2312" w:hAnsi="仿宋_GB2312" w:eastAsia="仿宋_GB2312" w:cs="仿宋_GB2312"/>
          <w:b w:val="0"/>
          <w:bCs/>
          <w:sz w:val="32"/>
          <w:szCs w:val="32"/>
          <w:lang w:val="en-US" w:eastAsia="zh-CN"/>
        </w:rPr>
      </w:pPr>
      <w:r>
        <w:rPr>
          <w:rStyle w:val="22"/>
          <w:rFonts w:hint="eastAsia" w:ascii="仿宋_GB2312" w:hAnsi="仿宋_GB2312" w:eastAsia="仿宋_GB2312" w:cs="仿宋_GB2312"/>
          <w:b w:val="0"/>
          <w:bCs/>
          <w:sz w:val="32"/>
          <w:szCs w:val="32"/>
          <w:lang w:val="en-US" w:eastAsia="zh-CN"/>
        </w:rPr>
        <w:t xml:space="preserve">                          昌江区人民政府办公室</w:t>
      </w:r>
    </w:p>
    <w:p w14:paraId="397959FF">
      <w:pPr>
        <w:pStyle w:val="16"/>
        <w:widowControl/>
        <w:spacing w:beforeAutospacing="0" w:afterAutospacing="0" w:line="600" w:lineRule="exact"/>
        <w:jc w:val="center"/>
        <w:rPr>
          <w:rStyle w:val="22"/>
          <w:rFonts w:hint="default" w:ascii="仿宋_GB2312" w:hAnsi="仿宋_GB2312" w:eastAsia="仿宋_GB2312" w:cs="仿宋_GB2312"/>
          <w:b w:val="0"/>
          <w:bCs/>
          <w:sz w:val="32"/>
          <w:szCs w:val="32"/>
          <w:lang w:val="en-US" w:eastAsia="zh-CN"/>
        </w:rPr>
      </w:pPr>
      <w:r>
        <w:rPr>
          <w:rStyle w:val="22"/>
          <w:rFonts w:hint="eastAsia" w:ascii="仿宋_GB2312" w:hAnsi="仿宋_GB2312" w:eastAsia="仿宋_GB2312" w:cs="仿宋_GB2312"/>
          <w:b w:val="0"/>
          <w:bCs/>
          <w:sz w:val="32"/>
          <w:szCs w:val="32"/>
          <w:lang w:val="en-US" w:eastAsia="zh-CN"/>
        </w:rPr>
        <w:t xml:space="preserve">                          2024年6月12日</w:t>
      </w:r>
    </w:p>
    <w:p w14:paraId="43FF2A2D">
      <w:pPr>
        <w:pStyle w:val="16"/>
        <w:widowControl/>
        <w:spacing w:beforeAutospacing="0" w:afterAutospacing="0" w:line="600" w:lineRule="exact"/>
        <w:jc w:val="both"/>
        <w:rPr>
          <w:rStyle w:val="22"/>
          <w:rFonts w:hint="eastAsia" w:ascii="方正小标宋简体" w:hAnsi="方正小标宋简体" w:eastAsia="方正小标宋简体" w:cs="方正小标宋简体"/>
          <w:b w:val="0"/>
          <w:bCs/>
          <w:sz w:val="44"/>
          <w:szCs w:val="44"/>
        </w:rPr>
      </w:pPr>
    </w:p>
    <w:p w14:paraId="2491F1F3">
      <w:pPr>
        <w:pStyle w:val="16"/>
        <w:widowControl/>
        <w:spacing w:beforeAutospacing="0" w:afterAutospacing="0" w:line="600" w:lineRule="exact"/>
        <w:jc w:val="both"/>
        <w:rPr>
          <w:rStyle w:val="22"/>
          <w:rFonts w:hint="eastAsia" w:ascii="方正小标宋简体" w:hAnsi="方正小标宋简体" w:eastAsia="方正小标宋简体" w:cs="方正小标宋简体"/>
          <w:b w:val="0"/>
          <w:bCs/>
          <w:sz w:val="44"/>
          <w:szCs w:val="44"/>
        </w:rPr>
      </w:pPr>
    </w:p>
    <w:p w14:paraId="20F01F1A">
      <w:pPr>
        <w:pStyle w:val="16"/>
        <w:widowControl/>
        <w:spacing w:beforeAutospacing="0" w:afterAutospacing="0" w:line="600" w:lineRule="exact"/>
        <w:jc w:val="both"/>
        <w:rPr>
          <w:rStyle w:val="22"/>
          <w:rFonts w:hint="eastAsia" w:ascii="方正小标宋简体" w:hAnsi="方正小标宋简体" w:eastAsia="方正小标宋简体" w:cs="方正小标宋简体"/>
          <w:b w:val="0"/>
          <w:bCs/>
          <w:sz w:val="44"/>
          <w:szCs w:val="44"/>
        </w:rPr>
      </w:pPr>
    </w:p>
    <w:p w14:paraId="146C6A13">
      <w:pPr>
        <w:pStyle w:val="16"/>
        <w:widowControl/>
        <w:spacing w:beforeAutospacing="0" w:afterAutospacing="0" w:line="600" w:lineRule="exact"/>
        <w:jc w:val="both"/>
        <w:rPr>
          <w:rStyle w:val="22"/>
          <w:rFonts w:hint="eastAsia" w:ascii="方正小标宋简体" w:hAnsi="方正小标宋简体" w:eastAsia="方正小标宋简体" w:cs="方正小标宋简体"/>
          <w:b w:val="0"/>
          <w:bCs/>
          <w:sz w:val="44"/>
          <w:szCs w:val="44"/>
        </w:rPr>
      </w:pPr>
    </w:p>
    <w:p w14:paraId="25A7D94D">
      <w:pPr>
        <w:pStyle w:val="16"/>
        <w:widowControl/>
        <w:spacing w:beforeAutospacing="0" w:afterAutospacing="0" w:line="600" w:lineRule="exact"/>
        <w:jc w:val="both"/>
        <w:rPr>
          <w:rStyle w:val="22"/>
          <w:rFonts w:hint="eastAsia" w:ascii="方正小标宋简体" w:hAnsi="方正小标宋简体" w:eastAsia="方正小标宋简体" w:cs="方正小标宋简体"/>
          <w:b w:val="0"/>
          <w:bCs/>
          <w:sz w:val="44"/>
          <w:szCs w:val="44"/>
        </w:rPr>
      </w:pPr>
    </w:p>
    <w:p w14:paraId="74455732">
      <w:pPr>
        <w:pStyle w:val="16"/>
        <w:widowControl/>
        <w:spacing w:beforeAutospacing="0" w:afterAutospacing="0" w:line="600" w:lineRule="exact"/>
        <w:jc w:val="both"/>
        <w:rPr>
          <w:rStyle w:val="22"/>
          <w:rFonts w:hint="eastAsia" w:ascii="方正小标宋简体" w:hAnsi="方正小标宋简体" w:eastAsia="方正小标宋简体" w:cs="方正小标宋简体"/>
          <w:b w:val="0"/>
          <w:bCs/>
          <w:sz w:val="44"/>
          <w:szCs w:val="44"/>
        </w:rPr>
      </w:pPr>
    </w:p>
    <w:p w14:paraId="5E2C18A2">
      <w:pPr>
        <w:pStyle w:val="16"/>
        <w:widowControl/>
        <w:spacing w:beforeAutospacing="0" w:afterAutospacing="0" w:line="600" w:lineRule="exact"/>
        <w:jc w:val="both"/>
        <w:rPr>
          <w:rStyle w:val="22"/>
          <w:rFonts w:hint="eastAsia" w:ascii="方正小标宋简体" w:hAnsi="方正小标宋简体" w:eastAsia="方正小标宋简体" w:cs="方正小标宋简体"/>
          <w:b w:val="0"/>
          <w:bCs/>
          <w:sz w:val="44"/>
          <w:szCs w:val="44"/>
        </w:rPr>
      </w:pPr>
    </w:p>
    <w:p w14:paraId="5F98BCCF">
      <w:pPr>
        <w:pStyle w:val="16"/>
        <w:widowControl/>
        <w:spacing w:beforeAutospacing="0" w:afterAutospacing="0" w:line="600" w:lineRule="exact"/>
        <w:jc w:val="both"/>
        <w:rPr>
          <w:rStyle w:val="22"/>
          <w:rFonts w:hint="eastAsia" w:ascii="方正小标宋简体" w:hAnsi="方正小标宋简体" w:eastAsia="方正小标宋简体" w:cs="方正小标宋简体"/>
          <w:b w:val="0"/>
          <w:bCs/>
          <w:sz w:val="44"/>
          <w:szCs w:val="44"/>
        </w:rPr>
      </w:pPr>
    </w:p>
    <w:p w14:paraId="728CD811">
      <w:pPr>
        <w:pStyle w:val="16"/>
        <w:widowControl/>
        <w:spacing w:beforeAutospacing="0" w:afterAutospacing="0" w:line="600" w:lineRule="exact"/>
        <w:jc w:val="both"/>
        <w:rPr>
          <w:rStyle w:val="22"/>
          <w:rFonts w:hint="eastAsia" w:ascii="方正小标宋简体" w:hAnsi="方正小标宋简体" w:eastAsia="方正小标宋简体" w:cs="方正小标宋简体"/>
          <w:b w:val="0"/>
          <w:bCs/>
          <w:sz w:val="44"/>
          <w:szCs w:val="44"/>
        </w:rPr>
      </w:pPr>
    </w:p>
    <w:p w14:paraId="2B0B09EC">
      <w:pPr>
        <w:pStyle w:val="16"/>
        <w:widowControl/>
        <w:spacing w:beforeAutospacing="0" w:afterAutospacing="0" w:line="600" w:lineRule="exact"/>
        <w:jc w:val="center"/>
        <w:rPr>
          <w:rStyle w:val="22"/>
          <w:rFonts w:hint="eastAsia" w:ascii="方正小标宋简体" w:hAnsi="方正小标宋简体" w:eastAsia="方正小标宋简体" w:cs="方正小标宋简体"/>
          <w:b w:val="0"/>
          <w:bCs/>
          <w:sz w:val="44"/>
          <w:szCs w:val="44"/>
        </w:rPr>
      </w:pPr>
      <w:r>
        <w:rPr>
          <w:rStyle w:val="22"/>
          <w:rFonts w:hint="eastAsia" w:ascii="方正小标宋简体" w:hAnsi="方正小标宋简体" w:eastAsia="方正小标宋简体" w:cs="方正小标宋简体"/>
          <w:b w:val="0"/>
          <w:bCs/>
          <w:sz w:val="44"/>
          <w:szCs w:val="44"/>
        </w:rPr>
        <w:t>景德镇市昌江区制造业重点产业链现代化</w:t>
      </w:r>
    </w:p>
    <w:p w14:paraId="1D9B7A33">
      <w:pPr>
        <w:pStyle w:val="16"/>
        <w:widowControl/>
        <w:spacing w:beforeAutospacing="0" w:afterAutospacing="0" w:line="600" w:lineRule="exact"/>
        <w:jc w:val="center"/>
        <w:rPr>
          <w:rStyle w:val="22"/>
          <w:rFonts w:ascii="方正小标宋简体" w:hAnsi="方正小标宋简体" w:eastAsia="方正小标宋简体" w:cs="方正小标宋简体"/>
          <w:b w:val="0"/>
          <w:bCs/>
          <w:sz w:val="44"/>
          <w:szCs w:val="44"/>
        </w:rPr>
      </w:pPr>
      <w:r>
        <w:rPr>
          <w:rStyle w:val="22"/>
          <w:rFonts w:hint="eastAsia" w:ascii="方正小标宋简体" w:hAnsi="方正小标宋简体" w:eastAsia="方正小标宋简体" w:cs="方正小标宋简体"/>
          <w:b w:val="0"/>
          <w:bCs/>
          <w:sz w:val="44"/>
          <w:szCs w:val="44"/>
        </w:rPr>
        <w:t>建设行动方案（2024-2026年）</w:t>
      </w:r>
    </w:p>
    <w:p w14:paraId="7B23C25D">
      <w:pPr>
        <w:pStyle w:val="16"/>
        <w:widowControl/>
        <w:spacing w:beforeAutospacing="0" w:afterAutospacing="0" w:line="600" w:lineRule="exact"/>
        <w:jc w:val="center"/>
        <w:rPr>
          <w:rFonts w:ascii="楷体" w:hAnsi="楷体" w:eastAsia="楷体" w:cs="楷体"/>
          <w:sz w:val="32"/>
          <w:szCs w:val="32"/>
        </w:rPr>
      </w:pPr>
    </w:p>
    <w:p w14:paraId="1E26CA18">
      <w:pPr>
        <w:pStyle w:val="16"/>
        <w:keepNext w:val="0"/>
        <w:keepLines w:val="0"/>
        <w:pageBreakBefore w:val="0"/>
        <w:widowControl/>
        <w:kinsoku/>
        <w:wordWrap/>
        <w:overflowPunct/>
        <w:topLinePunct w:val="0"/>
        <w:autoSpaceDE/>
        <w:autoSpaceDN/>
        <w:bidi w:val="0"/>
        <w:adjustRightInd/>
        <w:snapToGrid/>
        <w:spacing w:beforeAutospacing="0" w:afterAutospacing="0" w:line="60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为深入贯彻习近平总书记关于建设现代化产业体系的重要论述精神，全面落实全国、全省新型工业化推进大会精神，打好产业基础高级化和产业链现代化攻坚战，提升产业链韧性和安全水平，加快建设具有域内特色的“2+1+X”现代化产业体系，不断推动全区制造业高质量发展。根据《江西省人民政府关于印发江西省制造业重点产业链现代化建设“1269”行动计划（2023-2026年）的通知》（赣府字〔2023〕40号）和《景德镇市制造业重点产业链现代化建设行动方案（2024-2026年）》，结合昌江区实际，特制定《昌江区制造业重点产业链现代化建设行动方案（2024-2026年）》。</w:t>
      </w:r>
    </w:p>
    <w:p w14:paraId="6298F697">
      <w:pPr>
        <w:pStyle w:val="1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黑体" w:hAnsi="黑体" w:eastAsia="黑体" w:cs="黑体"/>
          <w:b w:val="0"/>
          <w:bCs/>
          <w:sz w:val="32"/>
          <w:szCs w:val="32"/>
        </w:rPr>
      </w:pPr>
      <w:r>
        <w:rPr>
          <w:rStyle w:val="22"/>
          <w:rFonts w:hint="eastAsia" w:ascii="黑体" w:hAnsi="黑体" w:eastAsia="黑体" w:cs="黑体"/>
          <w:b w:val="0"/>
          <w:bCs/>
          <w:sz w:val="32"/>
          <w:szCs w:val="32"/>
        </w:rPr>
        <w:t>一、总体思路</w:t>
      </w:r>
    </w:p>
    <w:p w14:paraId="488C991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以习近平新时代中国特色社会主义思想为指导，全面贯彻党的二十大和省委十五届四次全体（扩大）会议精神，深入落实习近平总书记</w:t>
      </w:r>
      <w:r>
        <w:rPr>
          <w:rFonts w:hint="eastAsia" w:ascii="仿宋_GB2312" w:hAnsi="仿宋_GB2312" w:eastAsia="仿宋_GB2312" w:cs="仿宋_GB2312"/>
          <w:sz w:val="32"/>
          <w:szCs w:val="32"/>
          <w:lang w:val="en-US" w:eastAsia="zh-CN"/>
        </w:rPr>
        <w:t>考</w:t>
      </w:r>
      <w:r>
        <w:rPr>
          <w:rFonts w:hint="eastAsia" w:ascii="仿宋_GB2312" w:hAnsi="仿宋_GB2312" w:eastAsia="仿宋_GB2312" w:cs="仿宋_GB2312"/>
          <w:sz w:val="32"/>
          <w:szCs w:val="32"/>
        </w:rPr>
        <w:t>察江西重要讲话精神，完整、准确、全面贯彻新发展理念，对标对表《江西省制造业重点产业链现代化建设“1269”行动计划（2023-2026年）》《景德镇市制造业重点产业链现代化建设行动方案（2024-2026年）》工作任务，聚焦“</w:t>
      </w:r>
      <w:r>
        <w:rPr>
          <w:rFonts w:hint="eastAsia" w:ascii="仿宋_GB2312" w:hAnsi="仿宋_GB2312" w:eastAsia="仿宋_GB2312" w:cs="仿宋_GB2312"/>
          <w:sz w:val="32"/>
          <w:szCs w:val="32"/>
          <w:lang w:val="en-US" w:eastAsia="zh-CN"/>
        </w:rPr>
        <w:t>走在前</w:t>
      </w:r>
      <w:r>
        <w:rPr>
          <w:rFonts w:hint="eastAsia" w:ascii="仿宋_GB2312" w:hAnsi="仿宋_GB2312" w:eastAsia="仿宋_GB2312" w:cs="仿宋_GB2312"/>
          <w:sz w:val="32"/>
          <w:szCs w:val="32"/>
        </w:rPr>
        <w:t>、勇争先、善作为”</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目标要求，以精细化工与生物医药、电子信息、陶瓷主导产业链为重点，以产业高端化、智能化、绿色化为方向，以扎实推进新型工业化和高效实施产业链链长制为抓手，坚持龙头引领、专业配套、融合发展，进一步延伸产业链、提升价值链、融通供应链，加快构建以数字经济为引领、以先进制造业为主体、先进制造业与现代服务业融合发展的现代化产业体系。</w:t>
      </w:r>
    </w:p>
    <w:p w14:paraId="6EE7B399">
      <w:pPr>
        <w:pStyle w:val="1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黑体" w:hAnsi="黑体" w:eastAsia="黑体" w:cs="黑体"/>
          <w:b w:val="0"/>
          <w:bCs/>
          <w:sz w:val="32"/>
          <w:szCs w:val="32"/>
        </w:rPr>
      </w:pPr>
      <w:r>
        <w:rPr>
          <w:rStyle w:val="22"/>
          <w:rFonts w:hint="eastAsia" w:ascii="黑体" w:hAnsi="黑体" w:eastAsia="黑体" w:cs="黑体"/>
          <w:b w:val="0"/>
          <w:bCs/>
          <w:sz w:val="32"/>
          <w:szCs w:val="32"/>
        </w:rPr>
        <w:t>二、主要目标</w:t>
      </w:r>
    </w:p>
    <w:p w14:paraId="538DC111">
      <w:pPr>
        <w:pStyle w:val="1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到2026年，力争实现产业链现代化“3110”目标，即：精细化工和生物医药、电子信息、陶瓷3条制造业重点产业链现代化水平全面提升；打造电子信息1个综合实力和竞争力强的先进制造业集群；实现全区规模以上工业营业收入年均增长10%左右，统筹制造业质的有效提升和量的合理增长取得明显成效。</w:t>
      </w:r>
    </w:p>
    <w:p w14:paraId="79BC84A5">
      <w:pPr>
        <w:pStyle w:val="1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Style w:val="22"/>
          <w:rFonts w:ascii="黑体" w:hAnsi="黑体" w:eastAsia="黑体" w:cs="黑体"/>
          <w:b w:val="0"/>
          <w:bCs/>
          <w:sz w:val="32"/>
          <w:szCs w:val="32"/>
        </w:rPr>
      </w:pPr>
      <w:r>
        <w:rPr>
          <w:rStyle w:val="22"/>
          <w:rFonts w:hint="eastAsia" w:ascii="黑体" w:hAnsi="黑体" w:eastAsia="黑体" w:cs="黑体"/>
          <w:b w:val="0"/>
          <w:bCs/>
          <w:sz w:val="32"/>
          <w:szCs w:val="32"/>
        </w:rPr>
        <w:t>三、基本原则</w:t>
      </w:r>
    </w:p>
    <w:p w14:paraId="21749A5C">
      <w:pPr>
        <w:pStyle w:val="1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坚持创新引领、安全发展。</w:t>
      </w:r>
      <w:r>
        <w:rPr>
          <w:rFonts w:hint="eastAsia" w:ascii="仿宋_GB2312" w:hAnsi="仿宋_GB2312" w:eastAsia="仿宋_GB2312" w:cs="仿宋_GB2312"/>
          <w:sz w:val="32"/>
          <w:szCs w:val="32"/>
        </w:rPr>
        <w:t>围绕产业链部署创新链、围绕创新链配置政策链、资金链、深化创新链与人才链融合发展，以创新驱动引领产业链迈向中高端。提升重要领域关键技术、关键产品自给能力，增强发展供应链安全性。</w:t>
      </w:r>
    </w:p>
    <w:p w14:paraId="0281BB2C">
      <w:pPr>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ascii="仿宋_GB2312" w:hAnsi="仿宋_GB2312" w:eastAsia="仿宋_GB2312" w:cs="仿宋_GB2312"/>
          <w:kern w:val="0"/>
          <w:sz w:val="32"/>
          <w:szCs w:val="32"/>
          <w14:ligatures w14:val="none"/>
        </w:rPr>
      </w:pPr>
      <w:r>
        <w:rPr>
          <w:rFonts w:hint="eastAsia" w:ascii="仿宋_GB2312" w:hAnsi="仿宋_GB2312" w:eastAsia="仿宋_GB2312" w:cs="仿宋_GB2312"/>
          <w:b/>
          <w:bCs/>
          <w:kern w:val="0"/>
          <w:sz w:val="32"/>
          <w:szCs w:val="32"/>
          <w:lang w:bidi="ar"/>
        </w:rPr>
        <w:t>坚持链群融合、扬长补短。</w:t>
      </w:r>
      <w:r>
        <w:rPr>
          <w:rFonts w:hint="eastAsia" w:ascii="仿宋_GB2312" w:hAnsi="仿宋_GB2312" w:eastAsia="仿宋_GB2312" w:cs="仿宋_GB2312"/>
          <w:kern w:val="0"/>
          <w:sz w:val="32"/>
          <w:szCs w:val="32"/>
          <w14:ligatures w14:val="none"/>
        </w:rPr>
        <w:t>坚持以链壮群、以群强链，促进链内、链间、链群协同发展。立足比较优势，聚焦短板弱项，系统推进强基础、固优势、补短板、锻长板，畅通产业链循环。</w:t>
      </w:r>
    </w:p>
    <w:p w14:paraId="6257064F">
      <w:pPr>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ascii="仿宋_GB2312" w:hAnsi="仿宋_GB2312" w:eastAsia="仿宋_GB2312" w:cs="仿宋_GB2312"/>
          <w:kern w:val="0"/>
          <w:sz w:val="32"/>
          <w:szCs w:val="32"/>
          <w14:ligatures w14:val="none"/>
        </w:rPr>
      </w:pPr>
      <w:r>
        <w:rPr>
          <w:rFonts w:hint="eastAsia" w:ascii="仿宋_GB2312" w:hAnsi="仿宋_GB2312" w:eastAsia="仿宋_GB2312" w:cs="仿宋_GB2312"/>
          <w:b/>
          <w:bCs/>
          <w:kern w:val="0"/>
          <w:sz w:val="32"/>
          <w:szCs w:val="32"/>
          <w:lang w:bidi="ar"/>
        </w:rPr>
        <w:t>坚持精准施策、重点突破。</w:t>
      </w:r>
      <w:r>
        <w:rPr>
          <w:rFonts w:hint="eastAsia" w:ascii="仿宋_GB2312" w:hAnsi="仿宋_GB2312" w:eastAsia="仿宋_GB2312" w:cs="仿宋_GB2312"/>
          <w:kern w:val="0"/>
          <w:sz w:val="32"/>
          <w:szCs w:val="32"/>
          <w14:ligatures w14:val="none"/>
        </w:rPr>
        <w:t>一链一策推动产业链上下游、大中小企业融通发展，促进产业链能级整体提升。聚焦若干重点领域实施攻坚，积极推动一批优势细分产业链实现突破。</w:t>
      </w:r>
    </w:p>
    <w:p w14:paraId="0B9613AF">
      <w:pPr>
        <w:pStyle w:val="1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黑体" w:hAnsi="黑体" w:eastAsia="黑体" w:cs="黑体"/>
          <w:b w:val="0"/>
          <w:bCs/>
          <w:sz w:val="32"/>
          <w:szCs w:val="32"/>
        </w:rPr>
      </w:pPr>
      <w:r>
        <w:rPr>
          <w:rStyle w:val="22"/>
          <w:rFonts w:hint="eastAsia" w:ascii="黑体" w:hAnsi="黑体" w:eastAsia="黑体" w:cs="黑体"/>
          <w:b w:val="0"/>
          <w:bCs/>
          <w:sz w:val="32"/>
          <w:szCs w:val="32"/>
        </w:rPr>
        <w:t>四、主攻方向和发展路径</w:t>
      </w:r>
    </w:p>
    <w:p w14:paraId="4B361EBF">
      <w:pPr>
        <w:pStyle w:val="1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楷体" w:hAnsi="楷体" w:eastAsia="楷体" w:cs="楷体"/>
          <w:b/>
          <w:bCs/>
          <w:kern w:val="2"/>
          <w:sz w:val="32"/>
          <w:szCs w:val="32"/>
          <w:lang w:val="en-US" w:eastAsia="zh-CN" w:bidi="ar-SA"/>
          <w14:ligatures w14:val="standardContextual"/>
        </w:rPr>
      </w:pPr>
      <w:r>
        <w:rPr>
          <w:rFonts w:hint="eastAsia" w:ascii="楷体" w:hAnsi="楷体" w:eastAsia="楷体" w:cs="楷体"/>
          <w:b/>
          <w:bCs/>
          <w:kern w:val="2"/>
          <w:sz w:val="32"/>
          <w:szCs w:val="32"/>
          <w:lang w:val="en-US" w:eastAsia="zh-CN" w:bidi="ar-SA"/>
          <w14:ligatures w14:val="standardContextual"/>
        </w:rPr>
        <w:t>（一）“2+1”重点产业链</w:t>
      </w:r>
    </w:p>
    <w:p w14:paraId="0BFF4F15">
      <w:pPr>
        <w:pStyle w:val="1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精细化工和生物医药产业链。</w:t>
      </w:r>
      <w:bookmarkStart w:id="1" w:name="_Hlk166715036"/>
      <w:r>
        <w:rPr>
          <w:rFonts w:hint="eastAsia" w:ascii="仿宋_GB2312" w:hAnsi="仿宋_GB2312" w:eastAsia="仿宋_GB2312" w:cs="仿宋_GB2312"/>
          <w:sz w:val="32"/>
          <w:szCs w:val="32"/>
        </w:rPr>
        <w:t>以鱼山医药产业园为主平台，黑猫股份、富祥药业、景焦能源、凌富生物科技等龙头企业为重点，聚焦化工新材料、基础化工、生物医药等优势子产业链，</w:t>
      </w:r>
      <w:r>
        <w:rPr>
          <w:rFonts w:hint="eastAsia" w:ascii="仿宋" w:hAnsi="仿宋" w:eastAsia="仿宋" w:cs="仿宋_GB2312"/>
          <w:sz w:val="32"/>
          <w:szCs w:val="32"/>
          <w:shd w:val="clear" w:color="auto" w:fill="FFFFFF"/>
        </w:rPr>
        <w:t>按照强链、延链、补链、建链的要求，推动全区精细化工和生物医药产业链朝规模化、高端化、绿色化、智能化方向发展，</w:t>
      </w:r>
      <w:r>
        <w:rPr>
          <w:rFonts w:hint="eastAsia" w:ascii="仿宋_GB2312" w:hAnsi="仿宋_GB2312" w:eastAsia="仿宋_GB2312" w:cs="仿宋_GB2312"/>
          <w:sz w:val="32"/>
          <w:szCs w:val="32"/>
        </w:rPr>
        <w:t>全力</w:t>
      </w:r>
      <w:r>
        <w:rPr>
          <w:rFonts w:hint="eastAsia" w:ascii="仿宋" w:hAnsi="仿宋" w:eastAsia="仿宋" w:cs="仿宋_GB2312"/>
          <w:sz w:val="32"/>
          <w:szCs w:val="32"/>
          <w:shd w:val="clear" w:color="auto" w:fill="FFFFFF"/>
        </w:rPr>
        <w:t>提升全区精细化工和生物医药产业基础高级化、产业链现代化水平，做优做强精细化工和生物医药产业。到</w:t>
      </w:r>
      <w:r>
        <w:rPr>
          <w:rFonts w:ascii="仿宋" w:hAnsi="仿宋" w:eastAsia="仿宋" w:cs="仿宋_GB2312"/>
          <w:sz w:val="32"/>
          <w:szCs w:val="32"/>
          <w:shd w:val="clear" w:color="auto" w:fill="FFFFFF"/>
        </w:rPr>
        <w:t>2026年，精细化工和</w:t>
      </w:r>
      <w:r>
        <w:rPr>
          <w:rFonts w:hint="eastAsia" w:ascii="仿宋" w:hAnsi="仿宋" w:eastAsia="仿宋" w:cs="仿宋_GB2312"/>
          <w:sz w:val="32"/>
          <w:szCs w:val="32"/>
          <w:shd w:val="clear" w:color="auto" w:fill="FFFFFF"/>
        </w:rPr>
        <w:t>生物</w:t>
      </w:r>
      <w:r>
        <w:rPr>
          <w:rFonts w:ascii="仿宋" w:hAnsi="仿宋" w:eastAsia="仿宋" w:cs="仿宋_GB2312"/>
          <w:sz w:val="32"/>
          <w:szCs w:val="32"/>
          <w:shd w:val="clear" w:color="auto" w:fill="FFFFFF"/>
        </w:rPr>
        <w:t>医药</w:t>
      </w:r>
      <w:r>
        <w:rPr>
          <w:rFonts w:hint="eastAsia" w:ascii="仿宋" w:hAnsi="仿宋" w:eastAsia="仿宋" w:cs="仿宋_GB2312"/>
          <w:sz w:val="32"/>
          <w:szCs w:val="32"/>
          <w:shd w:val="clear" w:color="auto" w:fill="FFFFFF"/>
        </w:rPr>
        <w:t>产业链强链、延链、补链、建链取得突破，</w:t>
      </w:r>
      <w:r>
        <w:rPr>
          <w:rFonts w:ascii="仿宋" w:hAnsi="仿宋" w:eastAsia="仿宋" w:cs="仿宋_GB2312"/>
          <w:sz w:val="32"/>
          <w:szCs w:val="32"/>
          <w:shd w:val="clear" w:color="auto" w:fill="FFFFFF"/>
        </w:rPr>
        <w:t>全</w:t>
      </w:r>
      <w:r>
        <w:rPr>
          <w:rFonts w:hint="eastAsia" w:ascii="仿宋" w:hAnsi="仿宋" w:eastAsia="仿宋" w:cs="仿宋_GB2312"/>
          <w:sz w:val="32"/>
          <w:szCs w:val="32"/>
          <w:shd w:val="clear" w:color="auto" w:fill="FFFFFF"/>
        </w:rPr>
        <w:t>区</w:t>
      </w:r>
      <w:r>
        <w:rPr>
          <w:rFonts w:ascii="仿宋" w:hAnsi="仿宋" w:eastAsia="仿宋" w:cs="仿宋_GB2312"/>
          <w:sz w:val="32"/>
          <w:szCs w:val="32"/>
          <w:shd w:val="clear" w:color="auto" w:fill="FFFFFF"/>
        </w:rPr>
        <w:t>精细化工和</w:t>
      </w:r>
      <w:r>
        <w:rPr>
          <w:rFonts w:hint="eastAsia" w:ascii="仿宋" w:hAnsi="仿宋" w:eastAsia="仿宋" w:cs="仿宋_GB2312"/>
          <w:sz w:val="32"/>
          <w:szCs w:val="32"/>
          <w:shd w:val="clear" w:color="auto" w:fill="FFFFFF"/>
        </w:rPr>
        <w:t>生物</w:t>
      </w:r>
      <w:r>
        <w:rPr>
          <w:rFonts w:ascii="仿宋" w:hAnsi="仿宋" w:eastAsia="仿宋" w:cs="仿宋_GB2312"/>
          <w:sz w:val="32"/>
          <w:szCs w:val="32"/>
          <w:shd w:val="clear" w:color="auto" w:fill="FFFFFF"/>
        </w:rPr>
        <w:t>医药产业</w:t>
      </w:r>
      <w:r>
        <w:rPr>
          <w:rFonts w:hint="eastAsia" w:ascii="仿宋" w:hAnsi="仿宋" w:eastAsia="仿宋" w:cs="仿宋_GB2312"/>
          <w:sz w:val="32"/>
          <w:szCs w:val="32"/>
          <w:shd w:val="clear" w:color="auto" w:fill="FFFFFF"/>
        </w:rPr>
        <w:t>链</w:t>
      </w:r>
      <w:r>
        <w:rPr>
          <w:rFonts w:ascii="仿宋" w:hAnsi="仿宋" w:eastAsia="仿宋" w:cs="仿宋_GB2312"/>
          <w:sz w:val="32"/>
          <w:szCs w:val="32"/>
          <w:shd w:val="clear" w:color="auto" w:fill="FFFFFF"/>
        </w:rPr>
        <w:t>营业收入</w:t>
      </w:r>
      <w:r>
        <w:rPr>
          <w:rFonts w:hint="eastAsia" w:ascii="仿宋" w:hAnsi="仿宋" w:eastAsia="仿宋" w:cs="仿宋_GB2312"/>
          <w:sz w:val="32"/>
          <w:szCs w:val="32"/>
          <w:shd w:val="clear" w:color="auto" w:fill="FFFFFF"/>
        </w:rPr>
        <w:t>突破200</w:t>
      </w:r>
      <w:r>
        <w:rPr>
          <w:rFonts w:ascii="仿宋" w:hAnsi="仿宋" w:eastAsia="仿宋" w:cs="仿宋_GB2312"/>
          <w:sz w:val="32"/>
          <w:szCs w:val="32"/>
          <w:shd w:val="clear" w:color="auto" w:fill="FFFFFF"/>
        </w:rPr>
        <w:t>亿元</w:t>
      </w:r>
      <w:r>
        <w:rPr>
          <w:rFonts w:hint="eastAsia" w:ascii="仿宋" w:hAnsi="仿宋" w:eastAsia="仿宋" w:cs="仿宋_GB2312"/>
          <w:sz w:val="32"/>
          <w:szCs w:val="32"/>
          <w:shd w:val="clear" w:color="auto" w:fill="FFFFFF"/>
        </w:rPr>
        <w:t>。</w:t>
      </w:r>
      <w:bookmarkEnd w:id="1"/>
      <w:r>
        <w:rPr>
          <w:rFonts w:hint="eastAsia" w:ascii="仿宋_GB2312" w:hAnsi="仿宋_GB2312" w:eastAsia="仿宋_GB2312" w:cs="仿宋_GB2312"/>
          <w:b/>
          <w:bCs/>
          <w:sz w:val="32"/>
          <w:szCs w:val="32"/>
        </w:rPr>
        <w:t>在化工新材料领域，</w:t>
      </w:r>
      <w:bookmarkStart w:id="2" w:name="_Hlk166719921"/>
      <w:r>
        <w:rPr>
          <w:rFonts w:hint="eastAsia" w:ascii="仿宋_GB2312" w:hAnsi="仿宋_GB2312" w:eastAsia="仿宋_GB2312" w:cs="仿宋_GB2312"/>
          <w:sz w:val="32"/>
          <w:szCs w:val="32"/>
        </w:rPr>
        <w:t>以</w:t>
      </w:r>
      <w:bookmarkStart w:id="3" w:name="_Hlk166720092"/>
      <w:r>
        <w:rPr>
          <w:rFonts w:hint="eastAsia" w:ascii="仿宋_GB2312" w:hAnsi="仿宋_GB2312" w:eastAsia="仿宋_GB2312" w:cs="仿宋_GB2312"/>
          <w:sz w:val="32"/>
          <w:szCs w:val="32"/>
        </w:rPr>
        <w:t>黑猫股份等企业为龙头</w:t>
      </w:r>
      <w:bookmarkEnd w:id="3"/>
      <w:r>
        <w:rPr>
          <w:rFonts w:hint="eastAsia" w:ascii="仿宋_GB2312" w:hAnsi="仿宋_GB2312" w:eastAsia="仿宋_GB2312" w:cs="仿宋_GB2312"/>
          <w:sz w:val="32"/>
          <w:szCs w:val="32"/>
        </w:rPr>
        <w:t>，推进黑猫新材料产业基地项目</w:t>
      </w:r>
      <w:r>
        <w:rPr>
          <w:rFonts w:hint="eastAsia" w:ascii="仿宋_GB2312" w:hAnsi="仿宋" w:eastAsia="仿宋_GB2312" w:cs="仿宋"/>
          <w:bCs/>
          <w:sz w:val="32"/>
          <w:szCs w:val="32"/>
        </w:rPr>
        <w:t>建设</w:t>
      </w:r>
      <w:r>
        <w:rPr>
          <w:rFonts w:hint="eastAsia" w:ascii="仿宋_GB2312" w:hAnsi="仿宋_GB2312" w:eastAsia="仿宋_GB2312" w:cs="仿宋_GB2312"/>
          <w:sz w:val="32"/>
          <w:szCs w:val="32"/>
        </w:rPr>
        <w:t>，打造“炭黑——炭材料”产业链，</w:t>
      </w:r>
      <w:bookmarkEnd w:id="2"/>
      <w:r>
        <w:rPr>
          <w:rFonts w:hint="eastAsia" w:ascii="仿宋_GB2312" w:hAnsi="仿宋_GB2312" w:eastAsia="仿宋_GB2312" w:cs="仿宋_GB2312"/>
          <w:sz w:val="32"/>
          <w:szCs w:val="32"/>
        </w:rPr>
        <w:t>提升竞争优势。</w:t>
      </w:r>
      <w:r>
        <w:rPr>
          <w:rFonts w:hint="eastAsia" w:ascii="仿宋_GB2312" w:hAnsi="仿宋_GB2312" w:eastAsia="仿宋_GB2312" w:cs="仿宋_GB2312"/>
          <w:b/>
          <w:bCs/>
          <w:sz w:val="32"/>
          <w:szCs w:val="32"/>
        </w:rPr>
        <w:t>在生物医药领域，</w:t>
      </w:r>
      <w:r>
        <w:rPr>
          <w:rFonts w:hint="eastAsia" w:ascii="仿宋_GB2312" w:hAnsi="仿宋_GB2312" w:eastAsia="仿宋_GB2312" w:cs="仿宋_GB2312"/>
          <w:sz w:val="32"/>
          <w:szCs w:val="32"/>
        </w:rPr>
        <w:t>以</w:t>
      </w:r>
      <w:bookmarkStart w:id="4" w:name="_Hlk166720055"/>
      <w:r>
        <w:rPr>
          <w:rFonts w:hint="eastAsia" w:ascii="仿宋_GB2312" w:hAnsi="仿宋_GB2312" w:eastAsia="仿宋_GB2312" w:cs="仿宋_GB2312"/>
          <w:sz w:val="32"/>
          <w:szCs w:val="32"/>
        </w:rPr>
        <w:t>富祥药业、凌富生物科技等企业为龙头</w:t>
      </w:r>
      <w:bookmarkEnd w:id="4"/>
      <w:r>
        <w:rPr>
          <w:rFonts w:hint="eastAsia" w:ascii="仿宋_GB2312" w:hAnsi="仿宋_GB2312" w:eastAsia="仿宋_GB2312" w:cs="仿宋_GB2312"/>
          <w:sz w:val="32"/>
          <w:szCs w:val="32"/>
        </w:rPr>
        <w:t>，进一步强化β-内酰胺酶抑制剂原料药、碳青霉烯类药物等领域竞争优势，突破国内贸易壁垒，打造世界，建设全国重要的细分领域医药中间体供应中心。</w:t>
      </w:r>
      <w:r>
        <w:rPr>
          <w:rFonts w:hint="eastAsia" w:ascii="仿宋_GB2312" w:hAnsi="仿宋_GB2312" w:eastAsia="仿宋_GB2312" w:cs="仿宋_GB2312"/>
          <w:b/>
          <w:bCs/>
          <w:sz w:val="32"/>
          <w:szCs w:val="32"/>
        </w:rPr>
        <w:t>在基础化工领域，</w:t>
      </w:r>
      <w:bookmarkStart w:id="5" w:name="_Hlk166720011"/>
      <w:r>
        <w:rPr>
          <w:rFonts w:hint="eastAsia" w:ascii="仿宋_GB2312" w:hAnsi="仿宋_GB2312" w:eastAsia="仿宋_GB2312" w:cs="仿宋_GB2312"/>
          <w:sz w:val="32"/>
          <w:szCs w:val="32"/>
        </w:rPr>
        <w:t>以景焦能源等企业为龙头</w:t>
      </w:r>
      <w:bookmarkEnd w:id="5"/>
      <w:r>
        <w:rPr>
          <w:rFonts w:hint="eastAsia" w:ascii="仿宋_GB2312" w:hAnsi="仿宋_GB2312" w:eastAsia="仿宋_GB2312" w:cs="仿宋_GB2312"/>
          <w:sz w:val="32"/>
          <w:szCs w:val="32"/>
        </w:rPr>
        <w:t>，进一步提高炼焦水平，延伸产业链，推动煤焦油、粗苯、硫铵等向深加工领域发展，夯实基础化工原材料根基。</w:t>
      </w:r>
    </w:p>
    <w:p w14:paraId="1771966C">
      <w:pPr>
        <w:pStyle w:val="1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textAlignment w:val="auto"/>
        <w:rPr>
          <w:rFonts w:ascii="仿宋" w:hAnsi="仿宋" w:eastAsia="仿宋" w:cs="仿宋_GB2312"/>
          <w:sz w:val="32"/>
          <w:szCs w:val="32"/>
        </w:rPr>
      </w:pPr>
      <w:r>
        <w:rPr>
          <w:rFonts w:hint="eastAsia" w:ascii="仿宋" w:hAnsi="仿宋" w:eastAsia="仿宋" w:cs="仿宋_GB2312"/>
          <w:b/>
          <w:bCs/>
          <w:sz w:val="32"/>
          <w:szCs w:val="32"/>
        </w:rPr>
        <w:t>电子信息产业链。</w:t>
      </w:r>
      <w:r>
        <w:rPr>
          <w:rFonts w:ascii="仿宋_GB2312" w:hAnsi="仿宋_GB2312" w:eastAsia="仿宋_GB2312" w:cs="仿宋_GB2312"/>
          <w:sz w:val="32"/>
          <w:szCs w:val="32"/>
          <w:shd w:val="clear" w:color="auto" w:fill="FFFFFF"/>
        </w:rPr>
        <w:t>围绕电子元器件、</w:t>
      </w:r>
      <w:r>
        <w:rPr>
          <w:rFonts w:hint="eastAsia" w:ascii="仿宋_GB2312" w:hAnsi="仿宋_GB2312" w:eastAsia="仿宋_GB2312" w:cs="仿宋_GB2312"/>
          <w:sz w:val="32"/>
          <w:szCs w:val="32"/>
          <w:shd w:val="clear" w:color="auto" w:fill="FFFFFF"/>
        </w:rPr>
        <w:t>终端产品与基础材料</w:t>
      </w:r>
      <w:r>
        <w:rPr>
          <w:rFonts w:ascii="仿宋_GB2312" w:hAnsi="仿宋_GB2312" w:eastAsia="仿宋_GB2312" w:cs="仿宋_GB2312"/>
          <w:sz w:val="32"/>
          <w:szCs w:val="32"/>
          <w:shd w:val="clear" w:color="auto" w:fill="FFFFFF"/>
        </w:rPr>
        <w:t>等领域</w:t>
      </w:r>
      <w:r>
        <w:rPr>
          <w:rFonts w:hint="eastAsia" w:ascii="仿宋_GB2312" w:hAnsi="仿宋_GB2312" w:eastAsia="仿宋_GB2312" w:cs="仿宋_GB2312"/>
          <w:sz w:val="32"/>
          <w:szCs w:val="32"/>
          <w:shd w:val="clear" w:color="auto" w:fill="FFFFFF"/>
        </w:rPr>
        <w:t>招大引强，</w:t>
      </w:r>
      <w:r>
        <w:rPr>
          <w:rFonts w:ascii="仿宋_GB2312" w:hAnsi="仿宋_GB2312" w:eastAsia="仿宋_GB2312" w:cs="仿宋_GB2312"/>
          <w:sz w:val="32"/>
          <w:szCs w:val="32"/>
          <w:shd w:val="clear" w:color="auto" w:fill="FFFFFF"/>
        </w:rPr>
        <w:t>以重大项目、龙头企业为依托，</w:t>
      </w:r>
      <w:r>
        <w:rPr>
          <w:rFonts w:hint="eastAsia" w:ascii="仿宋" w:hAnsi="仿宋" w:eastAsia="仿宋" w:cs="仿宋_GB2312"/>
          <w:sz w:val="32"/>
          <w:szCs w:val="32"/>
        </w:rPr>
        <w:t>加快延伸产业链上下游，培育终端消费电子新赛道，</w:t>
      </w:r>
      <w:r>
        <w:rPr>
          <w:rFonts w:ascii="仿宋_GB2312" w:hAnsi="仿宋_GB2312" w:eastAsia="仿宋_GB2312" w:cs="仿宋_GB2312"/>
          <w:sz w:val="32"/>
          <w:szCs w:val="32"/>
          <w:shd w:val="clear" w:color="auto" w:fill="FFFFFF"/>
        </w:rPr>
        <w:t>推动</w:t>
      </w:r>
      <w:r>
        <w:rPr>
          <w:rFonts w:hint="eastAsia" w:ascii="仿宋_GB2312" w:hAnsi="仿宋_GB2312" w:eastAsia="仿宋_GB2312" w:cs="仿宋_GB2312"/>
          <w:sz w:val="32"/>
          <w:szCs w:val="32"/>
          <w:shd w:val="clear" w:color="auto" w:fill="FFFFFF"/>
        </w:rPr>
        <w:t>全区</w:t>
      </w:r>
      <w:r>
        <w:rPr>
          <w:rFonts w:ascii="仿宋_GB2312" w:hAnsi="仿宋_GB2312" w:eastAsia="仿宋_GB2312" w:cs="仿宋_GB2312"/>
          <w:sz w:val="32"/>
          <w:szCs w:val="32"/>
          <w:shd w:val="clear" w:color="auto" w:fill="FFFFFF"/>
        </w:rPr>
        <w:t>电子信息产业快速成规模、上台阶</w:t>
      </w:r>
      <w:r>
        <w:rPr>
          <w:rFonts w:hint="eastAsia" w:ascii="仿宋_GB2312" w:hAnsi="仿宋_GB2312" w:eastAsia="仿宋_GB2312" w:cs="仿宋_GB2312"/>
          <w:sz w:val="32"/>
          <w:szCs w:val="32"/>
          <w:shd w:val="clear" w:color="auto" w:fill="FFFFFF"/>
        </w:rPr>
        <w:t>，实现电子信息产业向中高端迈进。</w:t>
      </w:r>
      <w:r>
        <w:rPr>
          <w:rFonts w:hint="eastAsia" w:ascii="仿宋" w:hAnsi="仿宋" w:eastAsia="仿宋" w:cs="仿宋_GB2312"/>
          <w:sz w:val="32"/>
          <w:szCs w:val="32"/>
        </w:rPr>
        <w:t>到2026年，全区电子信息产业链规模以上企业力争达到20家，营业收入突破50亿元。</w:t>
      </w:r>
      <w:r>
        <w:rPr>
          <w:rFonts w:hint="eastAsia" w:ascii="仿宋" w:hAnsi="仿宋" w:eastAsia="仿宋" w:cs="仿宋_GB2312"/>
          <w:b/>
          <w:bCs/>
          <w:sz w:val="32"/>
          <w:szCs w:val="32"/>
        </w:rPr>
        <w:t>在终端领域，</w:t>
      </w:r>
      <w:r>
        <w:rPr>
          <w:rFonts w:hint="eastAsia" w:ascii="仿宋" w:hAnsi="仿宋" w:eastAsia="仿宋" w:cs="仿宋_GB2312"/>
          <w:sz w:val="32"/>
          <w:szCs w:val="32"/>
        </w:rPr>
        <w:t>深耕LED 照明细分领域，强化乐彭电子带动作用，加快延伸产业链上下游，推进乾富半导体、启福光科技项目建设，加快美思特电子、汇联峰科技项目建设,培育终端消费电子新赛道。</w:t>
      </w:r>
      <w:r>
        <w:rPr>
          <w:rFonts w:hint="eastAsia" w:ascii="仿宋" w:hAnsi="仿宋" w:eastAsia="仿宋" w:cs="仿宋_GB2312"/>
          <w:b/>
          <w:bCs/>
          <w:sz w:val="32"/>
          <w:szCs w:val="32"/>
        </w:rPr>
        <w:t>在电子元器件领域</w:t>
      </w:r>
      <w:r>
        <w:rPr>
          <w:rFonts w:hint="eastAsia" w:ascii="仿宋" w:hAnsi="仿宋" w:eastAsia="仿宋" w:cs="仿宋_GB2312"/>
          <w:sz w:val="32"/>
          <w:szCs w:val="32"/>
        </w:rPr>
        <w:t>，以鱼丽工业园为主阵地，在电路板、电子专用材料（覆铜板）、真空开关、电容器等领域持续发力，促进宏亿电子等电子信息龙头企业规模上台阶，打造一批细分行业的单项冠军、两化融合示范和“小巨人”企业。</w:t>
      </w:r>
    </w:p>
    <w:p w14:paraId="671B0204">
      <w:pPr>
        <w:pStyle w:val="1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陶瓷产业链。</w:t>
      </w:r>
      <w:bookmarkStart w:id="6" w:name="_Hlk166731259"/>
      <w:r>
        <w:rPr>
          <w:rFonts w:hint="eastAsia" w:ascii="仿宋_GB2312" w:hAnsi="仿宋_GB2312" w:eastAsia="仿宋_GB2312" w:cs="仿宋_GB2312"/>
          <w:sz w:val="32"/>
          <w:szCs w:val="32"/>
          <w:shd w:val="clear" w:color="auto" w:fill="FFFFFF"/>
        </w:rPr>
        <w:t>以景德镇国家陶瓷文化传承创新试验区建设为统领，充分挖掘昌江区基础特色优势，按照文化创意陶瓷日用化规模化、</w:t>
      </w:r>
      <w:r>
        <w:rPr>
          <w:rFonts w:hint="eastAsia" w:ascii="仿宋_GB2312" w:hAnsi="仿宋_GB2312" w:eastAsia="仿宋_GB2312" w:cs="仿宋_GB2312"/>
          <w:sz w:val="32"/>
          <w:szCs w:val="32"/>
        </w:rPr>
        <w:t>传统陶瓷文化化、先进陶瓷错位化的发展思路</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rPr>
        <w:t>坚持高端引进与内生培育并举，进一步做强产业链、优化价值链、提升创新链、融通供应链，加快构建体现昌江特色和优势的陶瓷产业链，为“把‘千年瓷都’这张靓丽的名片擦得更亮”贡献昌江力量。到2026年，陶瓷产业链规模以上企业力争达到30家，营业收入突破10</w:t>
      </w:r>
      <w:r>
        <w:rPr>
          <w:rFonts w:ascii="仿宋_GB2312" w:hAnsi="仿宋_GB2312" w:eastAsia="仿宋_GB2312" w:cs="仿宋_GB2312"/>
          <w:sz w:val="32"/>
          <w:szCs w:val="32"/>
        </w:rPr>
        <w:t>0亿元。</w:t>
      </w:r>
      <w:bookmarkEnd w:id="6"/>
      <w:r>
        <w:rPr>
          <w:rFonts w:hint="eastAsia" w:ascii="仿宋_GB2312" w:hAnsi="仿宋_GB2312" w:eastAsia="仿宋_GB2312" w:cs="仿宋_GB2312"/>
          <w:b/>
          <w:bCs/>
          <w:sz w:val="32"/>
          <w:szCs w:val="32"/>
        </w:rPr>
        <w:t>在文化创意陶瓷领域</w:t>
      </w:r>
      <w:r>
        <w:rPr>
          <w:rFonts w:hint="eastAsia" w:ascii="仿宋_GB2312" w:hAnsi="仿宋_GB2312" w:eastAsia="仿宋_GB2312" w:cs="仿宋_GB2312"/>
          <w:sz w:val="32"/>
          <w:szCs w:val="32"/>
        </w:rPr>
        <w:t>，以“宁封窑”“陶青台”等项目为引领，加快陶瓷文化创意设计产业集聚；</w:t>
      </w:r>
      <w:r>
        <w:rPr>
          <w:rFonts w:hint="eastAsia" w:ascii="仿宋_GB2312" w:hAnsi="仿宋_GB2312" w:eastAsia="仿宋_GB2312" w:cs="仿宋_GB2312"/>
          <w:b/>
          <w:bCs/>
          <w:sz w:val="32"/>
          <w:szCs w:val="32"/>
        </w:rPr>
        <w:t>在传统陶瓷领域，</w:t>
      </w:r>
      <w:r>
        <w:rPr>
          <w:rFonts w:hint="eastAsia" w:ascii="仿宋_GB2312" w:hAnsi="仿宋_GB2312" w:eastAsia="仿宋_GB2312" w:cs="仿宋_GB2312"/>
          <w:sz w:val="32"/>
          <w:szCs w:val="32"/>
        </w:rPr>
        <w:t>推动卡地克陶瓷、名镇瓷毯等企业转型升级，夯实传统陶瓷规模化根基；</w:t>
      </w:r>
      <w:r>
        <w:rPr>
          <w:rFonts w:hint="eastAsia" w:ascii="仿宋_GB2312" w:hAnsi="仿宋_GB2312" w:eastAsia="仿宋_GB2312" w:cs="仿宋_GB2312"/>
          <w:b/>
          <w:bCs/>
          <w:sz w:val="32"/>
          <w:szCs w:val="32"/>
        </w:rPr>
        <w:t>在先进陶瓷领域，</w:t>
      </w:r>
      <w:r>
        <w:rPr>
          <w:rFonts w:hint="eastAsia" w:ascii="仿宋_GB2312" w:hAnsi="仿宋_GB2312" w:eastAsia="仿宋_GB2312" w:cs="仿宋_GB2312"/>
          <w:sz w:val="32"/>
          <w:szCs w:val="32"/>
        </w:rPr>
        <w:t>按照</w:t>
      </w:r>
      <w:r>
        <w:rPr>
          <w:rFonts w:hint="eastAsia" w:ascii="仿宋_GB2312" w:hAnsi="宋体" w:eastAsia="仿宋_GB2312"/>
          <w:sz w:val="32"/>
          <w:szCs w:val="32"/>
        </w:rPr>
        <w:t>“产业配套，错位发展”</w:t>
      </w:r>
      <w:r>
        <w:rPr>
          <w:rFonts w:hint="eastAsia" w:ascii="仿宋_GB2312" w:hAnsi="仿宋_GB2312" w:eastAsia="仿宋_GB2312" w:cs="仿宋_GB2312"/>
          <w:sz w:val="32"/>
          <w:szCs w:val="32"/>
        </w:rPr>
        <w:t>原则，聚焦电子陶瓷、生物陶瓷，高温结构陶瓷等细分方向，成为细分方向的“小巨人”</w:t>
      </w:r>
      <w:r>
        <w:rPr>
          <w:rFonts w:hint="eastAsia" w:ascii="仿宋_GB2312" w:hAnsi="仿宋_GB2312" w:eastAsia="仿宋_GB2312" w:cs="仿宋_GB2312"/>
          <w:b/>
          <w:bCs/>
          <w:sz w:val="32"/>
          <w:szCs w:val="32"/>
        </w:rPr>
        <w:t>。在陶瓷配套领域</w:t>
      </w:r>
      <w:r>
        <w:rPr>
          <w:rFonts w:hint="eastAsia" w:ascii="仿宋_GB2312" w:hAnsi="仿宋_GB2312" w:eastAsia="仿宋_GB2312" w:cs="仿宋_GB2312"/>
          <w:sz w:val="32"/>
          <w:szCs w:val="32"/>
        </w:rPr>
        <w:t>，聚焦陶瓷原料制备，在陶瓷原料精细化、高端化、标准化等方面下功夫，成为景德镇市陶瓷原料主要供应基地。</w:t>
      </w:r>
    </w:p>
    <w:p w14:paraId="6BBD46E9">
      <w:pPr>
        <w:pStyle w:val="1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楷体" w:hAnsi="楷体" w:eastAsia="楷体" w:cs="楷体"/>
          <w:b/>
          <w:bCs/>
          <w:kern w:val="2"/>
          <w:sz w:val="32"/>
          <w:szCs w:val="32"/>
          <w:lang w:val="en-US" w:eastAsia="zh-CN" w:bidi="ar-SA"/>
          <w14:ligatures w14:val="standardContextual"/>
        </w:rPr>
      </w:pPr>
      <w:r>
        <w:rPr>
          <w:rFonts w:hint="eastAsia" w:ascii="楷体" w:hAnsi="楷体" w:eastAsia="楷体" w:cs="楷体"/>
          <w:b/>
          <w:bCs/>
          <w:kern w:val="2"/>
          <w:sz w:val="32"/>
          <w:szCs w:val="32"/>
          <w:lang w:val="en-US" w:eastAsia="zh-CN" w:bidi="ar-SA"/>
          <w14:ligatures w14:val="standardContextual"/>
        </w:rPr>
        <w:t>（二）1个先进制造业集群</w:t>
      </w:r>
    </w:p>
    <w:p w14:paraId="15A4F130">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14:ligatures w14:val="none"/>
        </w:rPr>
        <w:t>电子信息产业集群。</w:t>
      </w:r>
      <w:r>
        <w:rPr>
          <w:rFonts w:hint="eastAsia" w:ascii="仿宋_GB2312" w:hAnsi="仿宋_GB2312" w:eastAsia="仿宋_GB2312" w:cs="仿宋_GB2312"/>
          <w:sz w:val="32"/>
          <w:szCs w:val="32"/>
        </w:rPr>
        <w:t>进一步完善鱼丽电子信息产业园软硬件设施，优化产业生态，提高主动承接发达国家和地区技术水平高、附加值高的技术密集型、资金密集型电子信息产业输出能力。把握数字化、智能化、融合化的发展趋势，聚焦LED 照明、电子陶瓷、集成电路等细分领域，构建智能协同、融合创新的新一代电子信息产业体系。积极支持江西乐彭电器有限公司、景德镇市宏亿电子科技有限公司等企业做大做强，积极</w:t>
      </w:r>
      <w:r>
        <w:rPr>
          <w:rFonts w:hint="eastAsia" w:ascii="仿宋_GB2312" w:hAnsi="仿宋_GB2312" w:eastAsia="仿宋_GB2312" w:cs="仿宋_GB2312"/>
          <w:sz w:val="32"/>
          <w:szCs w:val="32"/>
          <w:shd w:val="clear" w:color="auto" w:fill="FFFFFF"/>
        </w:rPr>
        <w:t>推进乾富半导体、启福光科技、华仙科技等电子信息企业上规模、上台阶</w:t>
      </w:r>
      <w:r>
        <w:rPr>
          <w:rFonts w:hint="eastAsia" w:ascii="仿宋_GB2312" w:hAnsi="仿宋_GB2312" w:eastAsia="仿宋_GB2312" w:cs="仿宋_GB2312"/>
          <w:sz w:val="32"/>
          <w:szCs w:val="32"/>
        </w:rPr>
        <w:t>，构建电子信息企业群。</w:t>
      </w:r>
    </w:p>
    <w:p w14:paraId="5F87E96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Style w:val="22"/>
          <w:rFonts w:ascii="黑体" w:hAnsi="黑体" w:eastAsia="黑体" w:cs="黑体"/>
          <w:b w:val="0"/>
          <w:bCs/>
          <w:kern w:val="0"/>
          <w:sz w:val="32"/>
          <w:szCs w:val="32"/>
          <w:lang w:bidi="ar"/>
        </w:rPr>
      </w:pPr>
      <w:r>
        <w:rPr>
          <w:rStyle w:val="22"/>
          <w:rFonts w:hint="eastAsia" w:ascii="黑体" w:hAnsi="黑体" w:eastAsia="黑体" w:cs="黑体"/>
          <w:b w:val="0"/>
          <w:bCs/>
          <w:kern w:val="0"/>
          <w:sz w:val="32"/>
          <w:szCs w:val="32"/>
          <w:lang w:bidi="ar"/>
        </w:rPr>
        <w:t>五、主要举措</w:t>
      </w:r>
    </w:p>
    <w:p w14:paraId="045C36E5">
      <w:pPr>
        <w:pStyle w:val="1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楷体" w:hAnsi="楷体" w:eastAsia="楷体" w:cs="楷体"/>
          <w:b/>
          <w:bCs/>
          <w:kern w:val="2"/>
          <w:sz w:val="32"/>
          <w:szCs w:val="32"/>
          <w:lang w:val="en-US" w:eastAsia="zh-CN" w:bidi="ar-SA"/>
          <w14:ligatures w14:val="standardContextual"/>
        </w:rPr>
      </w:pPr>
      <w:r>
        <w:rPr>
          <w:rFonts w:hint="eastAsia" w:ascii="楷体" w:hAnsi="楷体" w:eastAsia="楷体" w:cs="楷体"/>
          <w:b/>
          <w:bCs/>
          <w:kern w:val="2"/>
          <w:sz w:val="32"/>
          <w:szCs w:val="32"/>
          <w:lang w:val="en-US" w:eastAsia="zh-CN" w:bidi="ar-SA"/>
          <w14:ligatures w14:val="standardContextual"/>
        </w:rPr>
        <w:t>（一）实施规划布局引领行动</w:t>
      </w:r>
    </w:p>
    <w:p w14:paraId="1A28FED9">
      <w:pPr>
        <w:pStyle w:val="1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坚持差异化发展原则,调整和优化现有产业链布局,避免重复建设和无序竞争,形成梯度递进、差异发展格局。统筹规划产业集群发展,明确区域产业发展定位,推动形成区域分工有序、相互协作、链接紧密、资源集约和环境保护的产业集群发展格局。围绕精细化工和生物医药、电子信息、陶瓷等产业打造产业生态圈,优化提升产业生态系统。</w:t>
      </w:r>
      <w:r>
        <w:rPr>
          <w:rFonts w:hint="eastAsia" w:ascii="仿宋_GB2312" w:hAnsi="仿宋_GB2312" w:eastAsia="仿宋_GB2312" w:cs="仿宋_GB2312"/>
          <w:b/>
          <w:bCs/>
          <w:sz w:val="32"/>
          <w:szCs w:val="32"/>
        </w:rPr>
        <w:t>（责任单位：区发改委、区工信局、区文广新局、昌江产业园管委会、各乡镇（街道））</w:t>
      </w:r>
    </w:p>
    <w:p w14:paraId="6AEC8EF4">
      <w:pPr>
        <w:pStyle w:val="1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楷体" w:hAnsi="楷体" w:eastAsia="楷体" w:cs="楷体"/>
          <w:b/>
          <w:bCs/>
          <w:kern w:val="2"/>
          <w:sz w:val="32"/>
          <w:szCs w:val="32"/>
          <w:lang w:val="en-US" w:eastAsia="zh-CN" w:bidi="ar-SA"/>
          <w14:ligatures w14:val="standardContextual"/>
        </w:rPr>
      </w:pPr>
      <w:r>
        <w:rPr>
          <w:rFonts w:hint="eastAsia" w:ascii="楷体" w:hAnsi="楷体" w:eastAsia="楷体" w:cs="楷体"/>
          <w:b/>
          <w:bCs/>
          <w:kern w:val="2"/>
          <w:sz w:val="32"/>
          <w:szCs w:val="32"/>
          <w:lang w:val="en-US" w:eastAsia="zh-CN" w:bidi="ar-SA"/>
          <w14:ligatures w14:val="standardContextual"/>
        </w:rPr>
        <w:t>（二）实施链长制升级行动</w:t>
      </w:r>
    </w:p>
    <w:p w14:paraId="2BA62903">
      <w:pPr>
        <w:pStyle w:val="1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楷体" w:hAnsi="楷体" w:eastAsia="楷体" w:cs="楷体"/>
          <w:sz w:val="32"/>
          <w:szCs w:val="32"/>
        </w:rPr>
      </w:pPr>
      <w:r>
        <w:rPr>
          <w:rFonts w:hint="eastAsia" w:ascii="仿宋_GB2312" w:hAnsi="仿宋_GB2312" w:eastAsia="仿宋_GB2312" w:cs="仿宋_GB2312"/>
          <w:sz w:val="32"/>
          <w:szCs w:val="32"/>
        </w:rPr>
        <w:t>全面实施产业链“链长制”，形成“一条产业链，一位区领导，一个牵头部门，一个工作方案，一个工作专班”的工作推进机制，定期对确定的3条重点产业链发展情况进行专题研究和调度，协调解决产业链发展中的重大事项。探索推行“链长+”“链主+”工作模式。建立链长与链主常态化互动机制，支持链主企业发展，链主企业带动产业链发展。推行“链长+园区”工作模式，制定《精细化工和生物医药产业链现代化建设行动方案》《电子信息产业链现代化建设行动方案》《陶瓷产业链现代化建设行动方案》等针对性政策措施，协调解决重大问题。集中资源推进本区域产业链项目建设、企业培育、招商引资、补链强链，打造产业集群。鼓励核心企业整合上下资源，建立基于供应链的融资服务平台，实现大中小企业仓储、物流、运输、销售等环节信息互联互通。鼓励金融机构深化同核心企业合作，共建“供应商+核心企业+经销商”融资体系。推行“链主+平台”工作模式，加快建立产业技术创新战略联盟，组织开展政企交流会、政策、人才培训班等活动。组织召开行业内供应链企业协调对接活动、跨行业配套产品对接活动，实现供需双方线下对接。</w:t>
      </w:r>
      <w:r>
        <w:rPr>
          <w:rFonts w:hint="eastAsia" w:ascii="楷体" w:hAnsi="楷体" w:eastAsia="楷体" w:cs="楷体"/>
          <w:sz w:val="32"/>
          <w:szCs w:val="32"/>
        </w:rPr>
        <w:t>（责任单位：区产业链链长制各责任部门）</w:t>
      </w:r>
    </w:p>
    <w:p w14:paraId="03778A86">
      <w:pPr>
        <w:pStyle w:val="1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楷体" w:hAnsi="楷体" w:eastAsia="楷体" w:cs="楷体"/>
          <w:b/>
          <w:bCs/>
          <w:kern w:val="2"/>
          <w:sz w:val="32"/>
          <w:szCs w:val="32"/>
          <w:lang w:val="en-US" w:eastAsia="zh-CN" w:bidi="ar-SA"/>
          <w14:ligatures w14:val="standardContextual"/>
        </w:rPr>
      </w:pPr>
      <w:r>
        <w:rPr>
          <w:rFonts w:hint="eastAsia" w:ascii="楷体" w:hAnsi="楷体" w:eastAsia="楷体" w:cs="楷体"/>
          <w:b/>
          <w:bCs/>
          <w:kern w:val="2"/>
          <w:sz w:val="32"/>
          <w:szCs w:val="32"/>
          <w:lang w:val="en-US" w:eastAsia="zh-CN" w:bidi="ar-SA"/>
          <w14:ligatures w14:val="standardContextual"/>
        </w:rPr>
        <w:t>（三）实施龙头骨干企业引育行动</w:t>
      </w:r>
    </w:p>
    <w:p w14:paraId="149951D5">
      <w:pPr>
        <w:pStyle w:val="1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楷体" w:hAnsi="楷体" w:eastAsia="楷体" w:cs="楷体"/>
          <w:sz w:val="32"/>
          <w:szCs w:val="32"/>
        </w:rPr>
      </w:pPr>
      <w:r>
        <w:rPr>
          <w:rFonts w:hint="eastAsia" w:ascii="仿宋_GB2312" w:hAnsi="仿宋_GB2312" w:eastAsia="仿宋_GB2312" w:cs="仿宋_GB2312"/>
          <w:sz w:val="32"/>
          <w:szCs w:val="32"/>
        </w:rPr>
        <w:t>围绕优势产业链筛选一批龙头骨干企业，制定“一企一策”定向培育计划，培育若干具有核心技术、竞争实力、带动能力强的产业链链主企业。推进工业发展专项等政策资金支持链主企业大力开展技术改造和数字化转型，着力培育生态型链主企业。完善重点产业链“四图五清单”，聚焦产业链龙头企业，集中力量招引一批具备链主特征的重大产业链项目。发挥已落户链主企业的引领作用，吸引核心配套</w:t>
      </w:r>
      <w:r>
        <w:rPr>
          <w:rFonts w:hint="eastAsia" w:ascii="仿宋_GB2312" w:hAnsi="仿宋_GB2312" w:eastAsia="仿宋_GB2312" w:cs="仿宋_GB2312"/>
          <w:sz w:val="32"/>
          <w:szCs w:val="32"/>
          <w:lang w:val="en-US" w:eastAsia="zh-CN"/>
        </w:rPr>
        <w:t>企</w:t>
      </w:r>
      <w:r>
        <w:rPr>
          <w:rFonts w:hint="eastAsia" w:ascii="仿宋_GB2312" w:hAnsi="仿宋_GB2312" w:eastAsia="仿宋_GB2312" w:cs="仿宋_GB2312"/>
          <w:sz w:val="32"/>
          <w:szCs w:val="32"/>
        </w:rPr>
        <w:t>业落户。推进省、市重大产业项目建设，力促产业链项目早投产快见效。</w:t>
      </w:r>
      <w:r>
        <w:rPr>
          <w:rFonts w:hint="eastAsia" w:ascii="楷体" w:hAnsi="楷体" w:eastAsia="楷体" w:cs="楷体"/>
          <w:sz w:val="32"/>
          <w:szCs w:val="32"/>
        </w:rPr>
        <w:t>（责任单位：</w:t>
      </w:r>
      <w:r>
        <w:rPr>
          <w:rFonts w:hint="eastAsia" w:ascii="楷体" w:hAnsi="楷体" w:eastAsia="楷体" w:cs="楷体"/>
          <w:sz w:val="32"/>
          <w:szCs w:val="32"/>
          <w:lang w:val="en-US" w:eastAsia="zh-CN"/>
        </w:rPr>
        <w:t>区</w:t>
      </w:r>
      <w:r>
        <w:rPr>
          <w:rFonts w:hint="eastAsia" w:ascii="楷体" w:hAnsi="楷体" w:eastAsia="楷体" w:cs="楷体"/>
          <w:sz w:val="32"/>
          <w:szCs w:val="32"/>
        </w:rPr>
        <w:t>产业链链长制各责任部门）</w:t>
      </w:r>
    </w:p>
    <w:p w14:paraId="4A15B885">
      <w:pPr>
        <w:pStyle w:val="1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楷体" w:hAnsi="楷体" w:eastAsia="楷体" w:cs="楷体"/>
          <w:b/>
          <w:bCs/>
          <w:kern w:val="2"/>
          <w:sz w:val="32"/>
          <w:szCs w:val="32"/>
          <w:lang w:val="en-US" w:eastAsia="zh-CN" w:bidi="ar-SA"/>
          <w14:ligatures w14:val="standardContextual"/>
        </w:rPr>
      </w:pPr>
      <w:r>
        <w:rPr>
          <w:rFonts w:hint="eastAsia" w:ascii="楷体" w:hAnsi="楷体" w:eastAsia="楷体" w:cs="楷体"/>
          <w:b/>
          <w:bCs/>
          <w:kern w:val="2"/>
          <w:sz w:val="32"/>
          <w:szCs w:val="32"/>
          <w:lang w:val="en-US" w:eastAsia="zh-CN" w:bidi="ar-SA"/>
          <w14:ligatures w14:val="standardContextual"/>
        </w:rPr>
        <w:t>（四）实施科技创新提升行动</w:t>
      </w:r>
    </w:p>
    <w:p w14:paraId="0D09920D">
      <w:pPr>
        <w:pStyle w:val="1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围绕重点产业链，积极争创一批国家级和省级创新平台，推动规上企业研发活动、研发机构、发明专利的占比明显提升，鼓励和引导知名高校院所、链主企业来区共建产业创新联合体，加快构建“政产学研用金”创新平台体系。贯彻落实中央和省委《关于进一步加强青年科技人才培养和使用的若干措施》，积极培养青年科技人才创新活力，鼓励青年人才申报国家、省、市各级人才工程计划，壮大青年科技人才队伍。聚焦重点产业链和可持续发展领域，运用“揭榜挂帅”机制实施一批科技攻关专项，发布制造业基础领域关键核心技术和产业攻关指南，大力推进重点创新产业化升级工程，组织实施更多创新成果产业化项目。坚持政府财政资金投入为引领，企业资金为核心，社会和金融资本为重要补充的研发投入体系，推动金融机构和社会资本对科技创新投入，形成政、银、企协同创新的资金保障机制。</w:t>
      </w:r>
      <w:r>
        <w:rPr>
          <w:rFonts w:hint="eastAsia" w:ascii="楷体" w:hAnsi="楷体" w:eastAsia="楷体" w:cs="楷体"/>
          <w:sz w:val="32"/>
          <w:szCs w:val="32"/>
        </w:rPr>
        <w:t>（责任单位：区科技局、区发改委、区工信局、区政府金融办、昌江产业园管委会、各乡镇（街道））</w:t>
      </w:r>
    </w:p>
    <w:p w14:paraId="63371E01">
      <w:pPr>
        <w:pStyle w:val="1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楷体" w:hAnsi="楷体" w:eastAsia="楷体" w:cs="楷体"/>
          <w:b/>
          <w:bCs/>
          <w:kern w:val="2"/>
          <w:sz w:val="32"/>
          <w:szCs w:val="32"/>
          <w:lang w:val="en-US" w:eastAsia="zh-CN" w:bidi="ar-SA"/>
          <w14:ligatures w14:val="standardContextual"/>
        </w:rPr>
      </w:pPr>
      <w:r>
        <w:rPr>
          <w:rFonts w:hint="eastAsia" w:ascii="楷体" w:hAnsi="楷体" w:eastAsia="楷体" w:cs="楷体"/>
          <w:b/>
          <w:bCs/>
          <w:kern w:val="2"/>
          <w:sz w:val="32"/>
          <w:szCs w:val="32"/>
          <w:lang w:val="en-US" w:eastAsia="zh-CN" w:bidi="ar-SA"/>
          <w14:ligatures w14:val="standardContextual"/>
        </w:rPr>
        <w:t>（五）实施产业链融合发展行动</w:t>
      </w:r>
    </w:p>
    <w:p w14:paraId="2F143DE5">
      <w:pPr>
        <w:pStyle w:val="1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方正楷体简体" w:hAnsi="方正楷体简体" w:eastAsia="方正楷体简体" w:cs="方正楷体简体"/>
          <w:sz w:val="32"/>
          <w:szCs w:val="32"/>
        </w:rPr>
      </w:pPr>
      <w:r>
        <w:rPr>
          <w:rFonts w:hint="eastAsia" w:ascii="仿宋_GB2312" w:hAnsi="仿宋_GB2312" w:eastAsia="仿宋_GB2312" w:cs="仿宋_GB2312"/>
          <w:sz w:val="32"/>
          <w:szCs w:val="32"/>
        </w:rPr>
        <w:t>梳理供需清单，支持重点企业不定期开展线上线下产业链供应链创新链对接活动，推动首台（套）产品应用推广，促进企业供需对接及时化常态化。聚焦重点产业垂直需求链和横向协作链，实施“靶向招商”。强化创新要素的集聚整合，促进高新技术企业与高校、科研院所融通创新。支持产业链“链主”企业牵头组建体系化、任务型的创新联合体，推进关键核心技术研发及产业化应用。建立以科技金融为主线的产业创新支持体系，促进“科技—产业—金融”高水平循环。</w:t>
      </w:r>
      <w:r>
        <w:rPr>
          <w:rFonts w:hint="eastAsia" w:ascii="楷体" w:hAnsi="楷体" w:eastAsia="楷体" w:cs="楷体"/>
          <w:sz w:val="32"/>
          <w:szCs w:val="32"/>
        </w:rPr>
        <w:t>（责任单位：区工信局、区发改委、区商务局、区科技局、区政府金融办、区工商联、昌江产业园管委会、各乡镇（街道））</w:t>
      </w:r>
    </w:p>
    <w:p w14:paraId="006F25D7">
      <w:pPr>
        <w:pStyle w:val="1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楷体" w:hAnsi="楷体" w:eastAsia="楷体" w:cs="楷体"/>
          <w:b/>
          <w:bCs/>
          <w:kern w:val="2"/>
          <w:sz w:val="32"/>
          <w:szCs w:val="32"/>
          <w:lang w:val="en-US" w:eastAsia="zh-CN" w:bidi="ar-SA"/>
          <w14:ligatures w14:val="standardContextual"/>
        </w:rPr>
      </w:pPr>
      <w:r>
        <w:rPr>
          <w:rFonts w:hint="eastAsia" w:ascii="楷体" w:hAnsi="楷体" w:eastAsia="楷体" w:cs="楷体"/>
          <w:b/>
          <w:bCs/>
          <w:kern w:val="2"/>
          <w:sz w:val="32"/>
          <w:szCs w:val="32"/>
          <w:lang w:val="en-US" w:eastAsia="zh-CN" w:bidi="ar-SA"/>
          <w14:ligatures w14:val="standardContextual"/>
        </w:rPr>
        <w:t>（六）实施资源要素保障行动</w:t>
      </w:r>
    </w:p>
    <w:p w14:paraId="5D49C309">
      <w:pPr>
        <w:pStyle w:val="1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持续优化营商环境，推动各级惠企纾困政策集成落地，围绕产业链现代化行动，实施财政、税收、科技、金融、教育、就业创业、人才引育等支持措施。综合运用企业“亩均论英雄”等评价结果，合理配置资金、土地、水、电、气、环境容量等资源要素。优化完善常态化企业帮扶机制，进一步提高“三全暖企”、企业特派员工作实效，畅通政企沟通渠道，积极帮扶服务企业，协调解决问题困难。</w:t>
      </w:r>
      <w:r>
        <w:rPr>
          <w:rFonts w:hint="eastAsia" w:ascii="楷体" w:hAnsi="楷体" w:eastAsia="楷体" w:cs="楷体"/>
          <w:sz w:val="32"/>
          <w:szCs w:val="32"/>
        </w:rPr>
        <w:t>（责任单位：区发改委、区财政局、区科技局、区工信局、区政府金融办、区工商联、昌江产业园管委会、各乡镇（街道））</w:t>
      </w:r>
    </w:p>
    <w:p w14:paraId="386FB00C">
      <w:pPr>
        <w:pStyle w:val="1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楷体" w:hAnsi="楷体" w:eastAsia="楷体" w:cs="楷体"/>
          <w:b/>
          <w:bCs/>
          <w:kern w:val="2"/>
          <w:sz w:val="32"/>
          <w:szCs w:val="32"/>
          <w:lang w:val="en-US" w:eastAsia="zh-CN" w:bidi="ar-SA"/>
          <w14:ligatures w14:val="standardContextual"/>
        </w:rPr>
      </w:pPr>
      <w:r>
        <w:rPr>
          <w:rFonts w:hint="eastAsia" w:ascii="楷体" w:hAnsi="楷体" w:eastAsia="楷体" w:cs="楷体"/>
          <w:b/>
          <w:bCs/>
          <w:kern w:val="2"/>
          <w:sz w:val="32"/>
          <w:szCs w:val="32"/>
          <w:lang w:val="en-US" w:eastAsia="zh-CN" w:bidi="ar-SA"/>
          <w14:ligatures w14:val="standardContextual"/>
        </w:rPr>
        <w:t>（七）实施数字化转型行动</w:t>
      </w:r>
    </w:p>
    <w:p w14:paraId="686DB04E">
      <w:pPr>
        <w:pStyle w:val="16"/>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楷体" w:hAnsi="楷体" w:eastAsia="楷体" w:cs="楷体"/>
          <w:sz w:val="32"/>
          <w:szCs w:val="32"/>
        </w:rPr>
      </w:pPr>
      <w:r>
        <w:rPr>
          <w:rFonts w:hint="eastAsia" w:ascii="仿宋_GB2312" w:hAnsi="仿宋_GB2312" w:eastAsia="仿宋_GB2312" w:cs="仿宋_GB2312"/>
          <w:sz w:val="32"/>
          <w:szCs w:val="32"/>
        </w:rPr>
        <w:t>全面推进“双千兆”网络建设，加大5G基站建设力度，推进IPv6、移动物联网部署应用，支持制造、交通、医疗、教育、港口等垂直行业应用市场培育。推动中小企业智改数转和龙头企业示范引领，鼓励龙头企业和国有企业“一企一战略”深入开展数字化转型。推动智能制造升级改造，分产业分领域打造标杆示范，探索建设“产业大脑”，坚持“链式思维”推动数字化。推动园区和行业系统开展企业数字化发展水平评价，加快推动数字化转型促进中心、“数字化诊所”建设。推动传统制造业向服务型制造业转型，培育一批细分行业数字化解决方案服务商，充盈数字化转型服务商生态资源池。</w:t>
      </w:r>
      <w:r>
        <w:rPr>
          <w:rFonts w:hint="eastAsia" w:ascii="楷体" w:hAnsi="楷体" w:eastAsia="楷体" w:cs="楷体"/>
          <w:sz w:val="32"/>
          <w:szCs w:val="32"/>
        </w:rPr>
        <w:t>（责任单位：区工信局、区发改委、区住建局、区商务局、昌江产业园管委会、各乡镇（街道））</w:t>
      </w:r>
    </w:p>
    <w:p w14:paraId="68F693B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b w:val="0"/>
          <w:bCs w:val="0"/>
          <w:sz w:val="32"/>
          <w:szCs w:val="32"/>
        </w:rPr>
      </w:pPr>
      <w:r>
        <w:rPr>
          <w:rFonts w:hint="eastAsia" w:ascii="黑体" w:hAnsi="黑体" w:eastAsia="黑体" w:cs="黑体"/>
          <w:b w:val="0"/>
          <w:bCs w:val="0"/>
          <w:sz w:val="32"/>
          <w:szCs w:val="32"/>
        </w:rPr>
        <w:t>六、工作要求</w:t>
      </w:r>
    </w:p>
    <w:p w14:paraId="2693E209">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sz w:val="32"/>
          <w:szCs w:val="32"/>
        </w:rPr>
      </w:pPr>
      <w:r>
        <w:rPr>
          <w:rFonts w:hint="eastAsia" w:ascii="楷体" w:hAnsi="楷体" w:eastAsia="楷体" w:cs="楷体"/>
          <w:b/>
          <w:bCs/>
          <w:sz w:val="32"/>
          <w:szCs w:val="32"/>
        </w:rPr>
        <w:t>（一）强化组织领导。</w:t>
      </w:r>
      <w:r>
        <w:rPr>
          <w:rFonts w:hint="eastAsia" w:ascii="仿宋_GB2312" w:hAnsi="仿宋_GB2312" w:eastAsia="仿宋_GB2312" w:cs="仿宋_GB2312"/>
          <w:sz w:val="32"/>
          <w:szCs w:val="32"/>
        </w:rPr>
        <w:t>区推动工业高质量发展工作领导小组统筹制造业重点产业链现代化推进工作。区工信局负责链长制工作的组织协调，研究建立制造业重点产业链发展工作成效考核评价体系，牵头推进制造业重点产业链发展。区直相关部门要把链长制工作纳入本部门工作重要范畴，区统计局要研究建立产业链统计监测体系，树立“全区一盘棋”意识，形成抓产业链现代化建设的合力。</w:t>
      </w:r>
    </w:p>
    <w:p w14:paraId="3B2949B7">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仿宋_GB2312" w:cs="仿宋_GB2312"/>
          <w:sz w:val="32"/>
          <w:szCs w:val="32"/>
        </w:rPr>
      </w:pPr>
      <w:r>
        <w:rPr>
          <w:rFonts w:hint="eastAsia" w:ascii="楷体" w:hAnsi="楷体" w:eastAsia="楷体" w:cs="楷体"/>
          <w:b/>
          <w:bCs/>
          <w:sz w:val="32"/>
          <w:szCs w:val="32"/>
        </w:rPr>
        <w:t>（二）强化调度督导。</w:t>
      </w:r>
      <w:r>
        <w:rPr>
          <w:rFonts w:hint="eastAsia" w:ascii="仿宋_GB2312" w:hAnsi="仿宋_GB2312" w:eastAsia="仿宋_GB2312" w:cs="仿宋_GB2312"/>
          <w:sz w:val="32"/>
          <w:szCs w:val="32"/>
        </w:rPr>
        <w:t>加强信息沟通通报，建立调度机制，强化日常督导，定期调度各产业链工作进展情况，统筹协调各方资源支持产业链发展，构建推进产业链发展的长效机制。</w:t>
      </w:r>
    </w:p>
    <w:p w14:paraId="600B04F2">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（三）强化宣传引导</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各部门要充分依托融媒体中心，加大对推进产业链发展特色典型经验案例宣传报道，对在推进产业链发展中表现突出的干部和优秀企业家要及时予以宣传引导，营造大抓产业链和尊重企业家的共识和氛围。</w:t>
      </w:r>
    </w:p>
    <w:p w14:paraId="2D26655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07B7E68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附件:</w:t>
      </w:r>
    </w:p>
    <w:p w14:paraId="7029121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1</w:t>
      </w:r>
      <w:r>
        <w:rPr>
          <w:rFonts w:hint="eastAsia" w:ascii="仿宋_GB2312" w:hAnsi="仿宋_GB2312" w:eastAsia="仿宋_GB2312" w:cs="仿宋_GB2312"/>
          <w:kern w:val="0"/>
          <w:sz w:val="32"/>
          <w:szCs w:val="32"/>
          <w:lang w:bidi="ar"/>
        </w:rPr>
        <w:t>.</w:t>
      </w:r>
      <w:r>
        <w:rPr>
          <w:rFonts w:hint="eastAsia" w:ascii="仿宋_GB2312" w:hAnsi="仿宋_GB2312" w:eastAsia="仿宋_GB2312" w:cs="仿宋_GB2312"/>
          <w:kern w:val="0"/>
          <w:sz w:val="32"/>
          <w:szCs w:val="32"/>
          <w:lang w:val="en-US" w:eastAsia="zh-CN" w:bidi="ar"/>
        </w:rPr>
        <w:t>昌江区重点产业链链长分工安排</w:t>
      </w:r>
    </w:p>
    <w:p w14:paraId="454BB26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val="en-US" w:eastAsia="zh-CN" w:bidi="ar"/>
        </w:rPr>
        <w:t>2.</w:t>
      </w:r>
      <w:r>
        <w:rPr>
          <w:rFonts w:hint="eastAsia" w:ascii="仿宋_GB2312" w:hAnsi="仿宋_GB2312" w:eastAsia="仿宋_GB2312" w:cs="仿宋_GB2312"/>
          <w:kern w:val="0"/>
          <w:sz w:val="32"/>
          <w:szCs w:val="32"/>
          <w:lang w:bidi="ar"/>
        </w:rPr>
        <w:t>景德镇市昌江区精细化工和医药产业链现代化建设行动方案（2024-2026年）</w:t>
      </w:r>
    </w:p>
    <w:p w14:paraId="1A1F3A09">
      <w:pPr>
        <w:pStyle w:val="17"/>
        <w:keepNext w:val="0"/>
        <w:keepLines w:val="0"/>
        <w:pageBreakBefore w:val="0"/>
        <w:kinsoku/>
        <w:wordWrap/>
        <w:overflowPunct/>
        <w:topLinePunct w:val="0"/>
        <w:autoSpaceDE/>
        <w:autoSpaceDN/>
        <w:bidi w:val="0"/>
        <w:adjustRightInd/>
        <w:snapToGrid/>
        <w:spacing w:after="0" w:line="60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val="en-US" w:eastAsia="zh-CN" w:bidi="ar"/>
        </w:rPr>
        <w:t>3</w:t>
      </w:r>
      <w:r>
        <w:rPr>
          <w:rFonts w:hint="eastAsia" w:ascii="仿宋_GB2312" w:hAnsi="仿宋_GB2312" w:eastAsia="仿宋_GB2312" w:cs="仿宋_GB2312"/>
          <w:kern w:val="0"/>
          <w:sz w:val="32"/>
          <w:szCs w:val="32"/>
          <w:lang w:bidi="ar"/>
        </w:rPr>
        <w:t>.景德镇市昌江区电子信息产业链现代化建设行动方案（2024-2026年）</w:t>
      </w:r>
    </w:p>
    <w:p w14:paraId="127937D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val="en-US" w:eastAsia="zh-CN" w:bidi="ar"/>
        </w:rPr>
        <w:t>4</w:t>
      </w:r>
      <w:r>
        <w:rPr>
          <w:rFonts w:hint="eastAsia" w:ascii="仿宋_GB2312" w:hAnsi="仿宋_GB2312" w:eastAsia="仿宋_GB2312" w:cs="仿宋_GB2312"/>
          <w:kern w:val="0"/>
          <w:sz w:val="32"/>
          <w:szCs w:val="32"/>
          <w:lang w:bidi="ar"/>
        </w:rPr>
        <w:t>.景德镇市昌江区陶瓷产业链现代化建设行动方案（2024-2026年）</w:t>
      </w:r>
    </w:p>
    <w:p w14:paraId="19CBC484">
      <w:r>
        <w:br w:type="page"/>
      </w:r>
    </w:p>
    <w:p w14:paraId="025A0EE2">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附件1：</w:t>
      </w:r>
    </w:p>
    <w:p w14:paraId="48A89F31">
      <w:pPr>
        <w:rPr>
          <w:rFonts w:hint="eastAsia" w:ascii="仿宋_GB2312" w:hAnsi="仿宋_GB2312" w:eastAsia="仿宋_GB2312" w:cs="仿宋_GB2312"/>
          <w:sz w:val="32"/>
          <w:szCs w:val="32"/>
          <w:lang w:val="en-US" w:eastAsia="zh-CN"/>
        </w:rPr>
      </w:pPr>
    </w:p>
    <w:p w14:paraId="39437A3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eastAsia="zh-CN"/>
          <w14:ligatures w14:val="none"/>
        </w:rPr>
      </w:pPr>
      <w:r>
        <w:rPr>
          <w:rFonts w:hint="eastAsia" w:ascii="方正小标宋简体" w:hAnsi="方正小标宋简体" w:eastAsia="方正小标宋简体" w:cs="方正小标宋简体"/>
          <w:b w:val="0"/>
          <w:bCs w:val="0"/>
          <w:sz w:val="44"/>
          <w:szCs w:val="44"/>
          <w:lang w:val="en-US" w:eastAsia="zh-CN"/>
          <w14:ligatures w14:val="none"/>
        </w:rPr>
        <w:t>昌江区</w:t>
      </w:r>
      <w:r>
        <w:rPr>
          <w:rFonts w:hint="eastAsia" w:ascii="方正小标宋简体" w:hAnsi="方正小标宋简体" w:eastAsia="方正小标宋简体" w:cs="方正小标宋简体"/>
          <w:b w:val="0"/>
          <w:bCs w:val="0"/>
          <w:sz w:val="44"/>
          <w:szCs w:val="44"/>
          <w:lang w:eastAsia="zh-CN"/>
          <w14:ligatures w14:val="none"/>
        </w:rPr>
        <w:t>人民政府办公室</w:t>
      </w:r>
    </w:p>
    <w:p w14:paraId="67B6C4B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eastAsia="zh-CN"/>
          <w14:ligatures w14:val="none"/>
        </w:rPr>
      </w:pPr>
      <w:r>
        <w:rPr>
          <w:rFonts w:hint="eastAsia" w:ascii="方正小标宋简体" w:hAnsi="方正小标宋简体" w:eastAsia="方正小标宋简体" w:cs="方正小标宋简体"/>
          <w:b w:val="0"/>
          <w:bCs w:val="0"/>
          <w:sz w:val="44"/>
          <w:szCs w:val="44"/>
          <w:lang w:eastAsia="zh-CN"/>
          <w14:ligatures w14:val="none"/>
        </w:rPr>
        <w:t>关于印发《</w:t>
      </w:r>
      <w:r>
        <w:rPr>
          <w:rFonts w:hint="eastAsia" w:ascii="方正小标宋简体" w:hAnsi="方正小标宋简体" w:eastAsia="方正小标宋简体" w:cs="方正小标宋简体"/>
          <w:b w:val="0"/>
          <w:bCs w:val="0"/>
          <w:sz w:val="44"/>
          <w:szCs w:val="44"/>
          <w:lang w:val="en-US" w:eastAsia="zh-CN"/>
          <w14:ligatures w14:val="none"/>
        </w:rPr>
        <w:t>昌江区</w:t>
      </w:r>
      <w:r>
        <w:rPr>
          <w:rFonts w:hint="eastAsia" w:ascii="方正小标宋简体" w:hAnsi="方正小标宋简体" w:eastAsia="方正小标宋简体" w:cs="方正小标宋简体"/>
          <w:b w:val="0"/>
          <w:bCs w:val="0"/>
          <w:sz w:val="44"/>
          <w:szCs w:val="44"/>
          <w:lang w:eastAsia="zh-CN"/>
          <w14:ligatures w14:val="none"/>
        </w:rPr>
        <w:t>重点产业链链长</w:t>
      </w:r>
    </w:p>
    <w:p w14:paraId="63C51AE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eastAsia="zh-CN"/>
          <w14:ligatures w14:val="none"/>
        </w:rPr>
      </w:pPr>
      <w:r>
        <w:rPr>
          <w:rFonts w:hint="eastAsia" w:ascii="方正小标宋简体" w:hAnsi="方正小标宋简体" w:eastAsia="方正小标宋简体" w:cs="方正小标宋简体"/>
          <w:b w:val="0"/>
          <w:bCs w:val="0"/>
          <w:sz w:val="44"/>
          <w:szCs w:val="44"/>
          <w:lang w:eastAsia="zh-CN"/>
          <w14:ligatures w14:val="none"/>
        </w:rPr>
        <w:t>分工安排》的通知</w:t>
      </w:r>
    </w:p>
    <w:p w14:paraId="09CD15C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14:ligatures w14:val="none"/>
        </w:rPr>
      </w:pPr>
    </w:p>
    <w:p w14:paraId="49A0F864">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napToGrid w:val="0"/>
          <w:kern w:val="0"/>
          <w:sz w:val="32"/>
          <w:szCs w:val="24"/>
          <w14:ligatures w14:val="none"/>
        </w:rPr>
      </w:pPr>
      <w:r>
        <w:rPr>
          <w:rFonts w:hint="eastAsia" w:ascii="仿宋_GB2312" w:hAnsi="仿宋_GB2312" w:eastAsia="仿宋_GB2312" w:cs="仿宋_GB2312"/>
          <w:snapToGrid w:val="0"/>
          <w:kern w:val="0"/>
          <w:sz w:val="32"/>
          <w:szCs w:val="24"/>
          <w:lang w:val="en-US" w:eastAsia="zh-CN"/>
          <w14:ligatures w14:val="none"/>
        </w:rPr>
        <w:t>各乡（镇）人民政府、街道办事处，区直各部门，昌江产业园管理委员会：</w:t>
      </w:r>
    </w:p>
    <w:p w14:paraId="0C70F9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napToGrid w:val="0"/>
          <w:kern w:val="0"/>
          <w:sz w:val="32"/>
          <w:szCs w:val="24"/>
          <w:lang w:val="en-US" w:eastAsia="zh-CN"/>
          <w14:ligatures w14:val="none"/>
        </w:rPr>
      </w:pPr>
      <w:r>
        <w:rPr>
          <w:rFonts w:hint="eastAsia" w:ascii="仿宋_GB2312" w:hAnsi="仿宋_GB2312" w:eastAsia="仿宋_GB2312" w:cs="仿宋_GB2312"/>
          <w:snapToGrid w:val="0"/>
          <w:kern w:val="0"/>
          <w:sz w:val="32"/>
          <w:szCs w:val="24"/>
          <w:lang w:val="en-US" w:eastAsia="zh-CN"/>
          <w14:ligatures w14:val="none"/>
        </w:rPr>
        <w:t>为深入贯彻落实省委省政府大力实施制造业重点产业链现代化建设“1269”行动计划，紧紧围绕具有我区特色的“2+1+X”产业体系，打好产业基础高级化和产业链现代化攻坚战，努力发扬特色产业优势，全力打造特色产业新高地，推动产业高质量发展，我区对重点产业链进行了梳理并明确责任分工。现将《昌江区重点产业链链长分工安排》印发给你们，请认真抓好组织实施。</w:t>
      </w:r>
    </w:p>
    <w:p w14:paraId="2705642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24"/>
          <w:lang w:val="en-US" w:eastAsia="zh-CN"/>
          <w14:ligatures w14:val="none"/>
        </w:rPr>
      </w:pPr>
    </w:p>
    <w:p w14:paraId="7065ABA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24"/>
          <w:lang w:val="en-US" w:eastAsia="zh-CN"/>
          <w14:ligatures w14:val="none"/>
        </w:rPr>
      </w:pPr>
    </w:p>
    <w:p w14:paraId="2916519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t xml:space="preserve">                             2024年5月21日</w:t>
      </w:r>
    </w:p>
    <w:p w14:paraId="2FDB4B8B">
      <w:pPr>
        <w:spacing w:line="454" w:lineRule="exact"/>
        <w:jc w:val="left"/>
        <w:rPr>
          <w:rFonts w:hint="eastAsia" w:ascii="仿宋_GB2312" w:hAnsi="仿宋_GB2312" w:eastAsia="仿宋_GB2312" w:cs="仿宋_GB2312"/>
          <w:color w:val="auto"/>
          <w:sz w:val="32"/>
          <w:szCs w:val="32"/>
          <w:lang w:val="en-US" w:eastAsia="zh-CN"/>
          <w14:ligatures w14:val="none"/>
        </w:rPr>
      </w:pPr>
    </w:p>
    <w:p w14:paraId="216E213E">
      <w:pPr>
        <w:spacing w:line="454" w:lineRule="exact"/>
        <w:jc w:val="left"/>
        <w:rPr>
          <w:rFonts w:hint="eastAsia" w:ascii="仿宋_GB2312" w:hAnsi="仿宋_GB2312" w:eastAsia="仿宋_GB2312" w:cs="仿宋_GB2312"/>
          <w:color w:val="auto"/>
          <w:sz w:val="32"/>
          <w:szCs w:val="32"/>
          <w:lang w:val="en-US" w:eastAsia="zh-CN"/>
          <w14:ligatures w14:val="none"/>
        </w:rPr>
      </w:pPr>
    </w:p>
    <w:p w14:paraId="4F5FEC1B">
      <w:pPr>
        <w:spacing w:line="454" w:lineRule="exact"/>
        <w:jc w:val="left"/>
        <w:rPr>
          <w:rFonts w:hint="eastAsia" w:ascii="仿宋_GB2312" w:hAnsi="仿宋_GB2312" w:eastAsia="仿宋_GB2312" w:cs="仿宋_GB2312"/>
          <w:color w:val="auto"/>
          <w:sz w:val="32"/>
          <w:szCs w:val="32"/>
          <w:lang w:val="en-US" w:eastAsia="zh-CN"/>
          <w14:ligatures w14:val="none"/>
        </w:rPr>
      </w:pPr>
    </w:p>
    <w:p w14:paraId="407FD2BE">
      <w:pPr>
        <w:spacing w:line="454" w:lineRule="exact"/>
        <w:jc w:val="left"/>
        <w:rPr>
          <w:rFonts w:hint="eastAsia" w:ascii="仿宋_GB2312" w:hAnsi="仿宋_GB2312" w:eastAsia="仿宋_GB2312" w:cs="仿宋_GB2312"/>
          <w:color w:val="auto"/>
          <w:sz w:val="32"/>
          <w:szCs w:val="32"/>
          <w:lang w:val="en-US" w:eastAsia="zh-CN"/>
          <w14:ligatures w14:val="none"/>
        </w:rPr>
      </w:pPr>
    </w:p>
    <w:p w14:paraId="1AEF2F08">
      <w:pPr>
        <w:spacing w:line="600" w:lineRule="exact"/>
        <w:rPr>
          <w:rFonts w:hint="eastAsia" w:ascii="仿宋_GB2312" w:hAnsi="仿宋_GB2312" w:eastAsia="仿宋_GB2312" w:cs="仿宋_GB2312"/>
          <w:color w:val="auto"/>
          <w:sz w:val="32"/>
          <w:szCs w:val="32"/>
          <w:lang w:val="en-US" w:eastAsia="zh-CN"/>
          <w14:ligatures w14:val="none"/>
        </w:rPr>
      </w:pPr>
      <w:r>
        <w:rPr>
          <w:rFonts w:hint="eastAsia" w:ascii="仿宋_GB2312" w:hAnsi="仿宋_GB2312" w:eastAsia="仿宋_GB2312" w:cs="仿宋_GB2312"/>
          <w:color w:val="auto"/>
          <w:sz w:val="32"/>
          <w:szCs w:val="32"/>
          <w:lang w:val="en-US" w:eastAsia="zh-CN"/>
          <w14:ligatures w14:val="none"/>
        </w:rPr>
        <w:br w:type="page"/>
      </w:r>
    </w:p>
    <w:p w14:paraId="67F248D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14:ligatures w14:val="none"/>
        </w:rPr>
      </w:pPr>
      <w:r>
        <w:rPr>
          <w:rFonts w:hint="eastAsia" w:ascii="方正小标宋简体" w:hAnsi="方正小标宋简体" w:eastAsia="方正小标宋简体" w:cs="方正小标宋简体"/>
          <w:b w:val="0"/>
          <w:bCs w:val="0"/>
          <w:sz w:val="44"/>
          <w:szCs w:val="44"/>
          <w:lang w:val="en-US" w:eastAsia="zh-CN"/>
          <w14:ligatures w14:val="none"/>
        </w:rPr>
        <w:t>昌江区重点产业链链长分工安排</w:t>
      </w:r>
    </w:p>
    <w:p w14:paraId="0130065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lang w:val="en-US" w:eastAsia="zh-CN"/>
          <w14:ligatures w14:val="none"/>
        </w:rPr>
      </w:pPr>
    </w:p>
    <w:tbl>
      <w:tblPr>
        <w:tblStyle w:val="2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6"/>
        <w:gridCol w:w="2934"/>
        <w:gridCol w:w="1879"/>
        <w:gridCol w:w="3433"/>
      </w:tblGrid>
      <w:tr w14:paraId="494A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58" w:type="pct"/>
          </w:tcPr>
          <w:p w14:paraId="5DDA678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z w:val="32"/>
                <w:szCs w:val="32"/>
                <w:vertAlign w:val="baseline"/>
                <w:lang w:val="en-US" w:eastAsia="zh-CN"/>
                <w14:ligatures w14:val="none"/>
              </w:rPr>
            </w:pPr>
            <w:r>
              <w:rPr>
                <w:rFonts w:hint="eastAsia" w:ascii="黑体" w:hAnsi="黑体" w:eastAsia="黑体" w:cs="黑体"/>
                <w:b w:val="0"/>
                <w:bCs w:val="0"/>
                <w:sz w:val="32"/>
                <w:szCs w:val="32"/>
                <w:vertAlign w:val="baseline"/>
                <w:lang w:val="en-US" w:eastAsia="zh-CN"/>
                <w14:ligatures w14:val="none"/>
              </w:rPr>
              <w:t>序号</w:t>
            </w:r>
          </w:p>
        </w:tc>
        <w:tc>
          <w:tcPr>
            <w:tcW w:w="1580" w:type="pct"/>
          </w:tcPr>
          <w:p w14:paraId="2E5B29F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z w:val="32"/>
                <w:szCs w:val="32"/>
                <w:vertAlign w:val="baseline"/>
                <w:lang w:val="en-US" w:eastAsia="zh-CN"/>
                <w14:ligatures w14:val="none"/>
              </w:rPr>
            </w:pPr>
            <w:r>
              <w:rPr>
                <w:rFonts w:hint="eastAsia" w:ascii="黑体" w:hAnsi="黑体" w:eastAsia="黑体" w:cs="黑体"/>
                <w:b w:val="0"/>
                <w:bCs w:val="0"/>
                <w:sz w:val="32"/>
                <w:szCs w:val="32"/>
                <w:vertAlign w:val="baseline"/>
                <w:lang w:val="en-US" w:eastAsia="zh-CN"/>
                <w14:ligatures w14:val="none"/>
              </w:rPr>
              <w:t>产业链名称</w:t>
            </w:r>
          </w:p>
        </w:tc>
        <w:tc>
          <w:tcPr>
            <w:tcW w:w="1012" w:type="pct"/>
          </w:tcPr>
          <w:p w14:paraId="1B3BA08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z w:val="32"/>
                <w:szCs w:val="32"/>
                <w:vertAlign w:val="baseline"/>
                <w:lang w:val="en-US" w:eastAsia="zh-CN"/>
                <w14:ligatures w14:val="none"/>
              </w:rPr>
            </w:pPr>
            <w:r>
              <w:rPr>
                <w:rFonts w:hint="eastAsia" w:ascii="黑体" w:hAnsi="黑体" w:eastAsia="黑体" w:cs="黑体"/>
                <w:b w:val="0"/>
                <w:bCs w:val="0"/>
                <w:sz w:val="32"/>
                <w:szCs w:val="32"/>
                <w:lang w:val="en-US" w:eastAsia="zh-CN"/>
                <w14:ligatures w14:val="none"/>
              </w:rPr>
              <w:t>链长</w:t>
            </w:r>
          </w:p>
        </w:tc>
        <w:tc>
          <w:tcPr>
            <w:tcW w:w="1848" w:type="pct"/>
          </w:tcPr>
          <w:p w14:paraId="4FF24E9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z w:val="32"/>
                <w:szCs w:val="32"/>
                <w:vertAlign w:val="baseline"/>
                <w:lang w:val="en-US" w:eastAsia="zh-CN"/>
                <w14:ligatures w14:val="none"/>
              </w:rPr>
            </w:pPr>
            <w:r>
              <w:rPr>
                <w:rFonts w:hint="eastAsia" w:ascii="黑体" w:hAnsi="黑体" w:eastAsia="黑体" w:cs="黑体"/>
                <w:b w:val="0"/>
                <w:bCs w:val="0"/>
                <w:sz w:val="32"/>
                <w:szCs w:val="32"/>
                <w:vertAlign w:val="baseline"/>
                <w:lang w:val="en-US" w:eastAsia="zh-CN"/>
                <w14:ligatures w14:val="none"/>
              </w:rPr>
              <w:t>责任部门</w:t>
            </w:r>
          </w:p>
        </w:tc>
      </w:tr>
      <w:tr w14:paraId="06524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558" w:type="pct"/>
            <w:vAlign w:val="center"/>
          </w:tcPr>
          <w:p w14:paraId="7938404B">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仿宋_GB2312" w:hAnsi="仿宋_GB2312" w:eastAsia="仿宋_GB2312" w:cs="仿宋_GB2312"/>
                <w:b w:val="0"/>
                <w:bCs w:val="0"/>
                <w:sz w:val="32"/>
                <w:szCs w:val="32"/>
                <w:vertAlign w:val="baseline"/>
                <w:lang w:val="en-US" w:eastAsia="zh-CN"/>
                <w14:ligatures w14:val="none"/>
              </w:rPr>
            </w:pPr>
          </w:p>
        </w:tc>
        <w:tc>
          <w:tcPr>
            <w:tcW w:w="1580" w:type="pct"/>
            <w:vAlign w:val="center"/>
          </w:tcPr>
          <w:p w14:paraId="649D9A2F">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仿宋_GB2312" w:hAnsi="仿宋_GB2312" w:eastAsia="仿宋_GB2312" w:cs="仿宋_GB2312"/>
                <w:b w:val="0"/>
                <w:bCs w:val="0"/>
                <w:sz w:val="32"/>
                <w:szCs w:val="32"/>
                <w:vertAlign w:val="baseline"/>
                <w:lang w:val="en-US" w:eastAsia="zh-CN"/>
                <w14:ligatures w14:val="none"/>
              </w:rPr>
            </w:pPr>
            <w:r>
              <w:rPr>
                <w:rFonts w:hint="eastAsia" w:ascii="仿宋_GB2312" w:hAnsi="仿宋_GB2312" w:eastAsia="仿宋_GB2312" w:cs="仿宋_GB2312"/>
                <w:b w:val="0"/>
                <w:bCs w:val="0"/>
                <w:sz w:val="32"/>
                <w:szCs w:val="32"/>
                <w:vertAlign w:val="baseline"/>
                <w:lang w:val="en-US" w:eastAsia="zh-CN"/>
                <w14:ligatures w14:val="none"/>
              </w:rPr>
              <w:t>总链长</w:t>
            </w:r>
          </w:p>
        </w:tc>
        <w:tc>
          <w:tcPr>
            <w:tcW w:w="1012" w:type="pct"/>
            <w:vAlign w:val="center"/>
          </w:tcPr>
          <w:p w14:paraId="04C49702">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仿宋_GB2312" w:hAnsi="仿宋_GB2312" w:eastAsia="仿宋_GB2312" w:cs="仿宋_GB2312"/>
                <w:b w:val="0"/>
                <w:bCs w:val="0"/>
                <w:sz w:val="32"/>
                <w:szCs w:val="32"/>
                <w:vertAlign w:val="baseline"/>
                <w:lang w:val="en-US" w:eastAsia="zh-CN"/>
                <w14:ligatures w14:val="none"/>
              </w:rPr>
            </w:pPr>
            <w:r>
              <w:rPr>
                <w:rFonts w:hint="eastAsia" w:ascii="仿宋_GB2312" w:hAnsi="仿宋_GB2312" w:eastAsia="仿宋_GB2312" w:cs="仿宋_GB2312"/>
                <w:b w:val="0"/>
                <w:bCs w:val="0"/>
                <w:sz w:val="32"/>
                <w:szCs w:val="32"/>
                <w:vertAlign w:val="baseline"/>
                <w:lang w:val="en-US" w:eastAsia="zh-CN"/>
                <w14:ligatures w14:val="none"/>
              </w:rPr>
              <w:t>伊文斌</w:t>
            </w:r>
          </w:p>
        </w:tc>
        <w:tc>
          <w:tcPr>
            <w:tcW w:w="1848" w:type="pct"/>
            <w:vAlign w:val="center"/>
          </w:tcPr>
          <w:p w14:paraId="43C3D995">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仿宋_GB2312" w:hAnsi="仿宋_GB2312" w:eastAsia="仿宋_GB2312" w:cs="仿宋_GB2312"/>
                <w:b w:val="0"/>
                <w:bCs w:val="0"/>
                <w:sz w:val="32"/>
                <w:szCs w:val="32"/>
                <w:vertAlign w:val="baseline"/>
                <w:lang w:val="en-US" w:eastAsia="zh-CN"/>
                <w14:ligatures w14:val="none"/>
              </w:rPr>
            </w:pPr>
          </w:p>
        </w:tc>
      </w:tr>
      <w:tr w14:paraId="17D22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58" w:type="pct"/>
            <w:vAlign w:val="center"/>
          </w:tcPr>
          <w:p w14:paraId="249F33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kern w:val="2"/>
                <w:sz w:val="32"/>
                <w:szCs w:val="32"/>
                <w:vertAlign w:val="baseline"/>
                <w:lang w:val="en-US" w:eastAsia="zh-CN" w:bidi="ar-SA"/>
                <w14:ligatures w14:val="none"/>
              </w:rPr>
            </w:pPr>
            <w:r>
              <w:rPr>
                <w:rFonts w:hint="eastAsia" w:ascii="仿宋_GB2312" w:hAnsi="仿宋_GB2312" w:eastAsia="仿宋_GB2312" w:cs="仿宋_GB2312"/>
                <w:b w:val="0"/>
                <w:bCs w:val="0"/>
                <w:sz w:val="32"/>
                <w:szCs w:val="32"/>
                <w:vertAlign w:val="baseline"/>
                <w:lang w:val="en-US" w:eastAsia="zh-CN"/>
                <w14:ligatures w14:val="none"/>
              </w:rPr>
              <w:t>1</w:t>
            </w:r>
          </w:p>
        </w:tc>
        <w:tc>
          <w:tcPr>
            <w:tcW w:w="1580" w:type="pct"/>
            <w:vAlign w:val="center"/>
          </w:tcPr>
          <w:p w14:paraId="612821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kern w:val="2"/>
                <w:sz w:val="32"/>
                <w:szCs w:val="32"/>
                <w:vertAlign w:val="baseline"/>
                <w:lang w:val="en-US" w:eastAsia="zh-CN" w:bidi="ar-SA"/>
                <w14:ligatures w14:val="none"/>
              </w:rPr>
            </w:pPr>
            <w:r>
              <w:rPr>
                <w:rFonts w:hint="eastAsia" w:ascii="仿宋_GB2312" w:hAnsi="仿宋_GB2312" w:eastAsia="仿宋_GB2312" w:cs="仿宋_GB2312"/>
                <w:b w:val="0"/>
                <w:bCs w:val="0"/>
                <w:sz w:val="32"/>
                <w:szCs w:val="32"/>
                <w:vertAlign w:val="baseline"/>
                <w:lang w:val="en-US" w:eastAsia="zh-CN"/>
                <w14:ligatures w14:val="none"/>
              </w:rPr>
              <w:t>陶瓷产业链</w:t>
            </w:r>
          </w:p>
        </w:tc>
        <w:tc>
          <w:tcPr>
            <w:tcW w:w="1012" w:type="pct"/>
            <w:vAlign w:val="center"/>
          </w:tcPr>
          <w:p w14:paraId="5F230E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32"/>
                <w:szCs w:val="32"/>
                <w:vertAlign w:val="baseline"/>
                <w:lang w:val="en-US" w:eastAsia="zh-CN"/>
                <w14:ligatures w14:val="none"/>
              </w:rPr>
            </w:pPr>
            <w:r>
              <w:rPr>
                <w:rFonts w:hint="eastAsia" w:ascii="仿宋_GB2312" w:hAnsi="仿宋_GB2312" w:eastAsia="仿宋_GB2312" w:cs="仿宋_GB2312"/>
                <w:b w:val="0"/>
                <w:bCs w:val="0"/>
                <w:sz w:val="32"/>
                <w:szCs w:val="32"/>
                <w:vertAlign w:val="baseline"/>
                <w:lang w:val="en-US" w:eastAsia="zh-CN"/>
                <w14:ligatures w14:val="none"/>
              </w:rPr>
              <w:t>江智峰</w:t>
            </w:r>
          </w:p>
        </w:tc>
        <w:tc>
          <w:tcPr>
            <w:tcW w:w="1848" w:type="pct"/>
            <w:vAlign w:val="center"/>
          </w:tcPr>
          <w:p w14:paraId="70C55D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32"/>
                <w:szCs w:val="32"/>
                <w:vertAlign w:val="baseline"/>
                <w:lang w:val="en-US" w:eastAsia="zh-CN"/>
                <w14:ligatures w14:val="none"/>
              </w:rPr>
            </w:pPr>
            <w:r>
              <w:rPr>
                <w:rFonts w:hint="eastAsia" w:ascii="仿宋_GB2312" w:hAnsi="仿宋_GB2312" w:eastAsia="仿宋_GB2312" w:cs="仿宋_GB2312"/>
                <w:b w:val="0"/>
                <w:bCs w:val="0"/>
                <w:sz w:val="32"/>
                <w:szCs w:val="32"/>
                <w:vertAlign w:val="baseline"/>
                <w:lang w:val="en-US" w:eastAsia="zh-CN"/>
                <w14:ligatures w14:val="none"/>
              </w:rPr>
              <w:t>区文广新旅局、区先陶办、区商务局、区工信局、各乡镇（街道）</w:t>
            </w:r>
          </w:p>
        </w:tc>
      </w:tr>
      <w:tr w14:paraId="5B571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58" w:type="pct"/>
            <w:vAlign w:val="center"/>
          </w:tcPr>
          <w:p w14:paraId="03CE41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kern w:val="2"/>
                <w:sz w:val="32"/>
                <w:szCs w:val="32"/>
                <w:vertAlign w:val="baseline"/>
                <w:lang w:val="en-US" w:eastAsia="zh-CN" w:bidi="ar-SA"/>
                <w14:ligatures w14:val="none"/>
              </w:rPr>
            </w:pPr>
            <w:r>
              <w:rPr>
                <w:rFonts w:hint="eastAsia" w:ascii="仿宋_GB2312" w:hAnsi="仿宋_GB2312" w:eastAsia="仿宋_GB2312" w:cs="仿宋_GB2312"/>
                <w:b w:val="0"/>
                <w:bCs w:val="0"/>
                <w:sz w:val="32"/>
                <w:szCs w:val="32"/>
                <w:vertAlign w:val="baseline"/>
                <w:lang w:val="en-US" w:eastAsia="zh-CN"/>
                <w14:ligatures w14:val="none"/>
              </w:rPr>
              <w:t>2</w:t>
            </w:r>
          </w:p>
        </w:tc>
        <w:tc>
          <w:tcPr>
            <w:tcW w:w="1580" w:type="pct"/>
            <w:vAlign w:val="center"/>
          </w:tcPr>
          <w:p w14:paraId="4802C0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kern w:val="2"/>
                <w:sz w:val="32"/>
                <w:szCs w:val="32"/>
                <w:vertAlign w:val="baseline"/>
                <w:lang w:val="en-US" w:eastAsia="zh-CN" w:bidi="ar-SA"/>
                <w14:ligatures w14:val="none"/>
              </w:rPr>
            </w:pPr>
            <w:r>
              <w:rPr>
                <w:rFonts w:hint="eastAsia" w:ascii="仿宋_GB2312" w:hAnsi="仿宋_GB2312" w:eastAsia="仿宋_GB2312" w:cs="仿宋_GB2312"/>
                <w:b w:val="0"/>
                <w:bCs w:val="0"/>
                <w:sz w:val="32"/>
                <w:szCs w:val="32"/>
                <w:vertAlign w:val="baseline"/>
                <w:lang w:val="en-US" w:eastAsia="zh-CN"/>
                <w14:ligatures w14:val="none"/>
              </w:rPr>
              <w:t>精细化工和生物医药产业链</w:t>
            </w:r>
          </w:p>
        </w:tc>
        <w:tc>
          <w:tcPr>
            <w:tcW w:w="1012" w:type="pct"/>
            <w:vAlign w:val="center"/>
          </w:tcPr>
          <w:p w14:paraId="622326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kern w:val="2"/>
                <w:sz w:val="32"/>
                <w:szCs w:val="32"/>
                <w:vertAlign w:val="baseline"/>
                <w:lang w:val="en-US" w:eastAsia="zh-CN" w:bidi="ar-SA"/>
                <w14:ligatures w14:val="none"/>
              </w:rPr>
            </w:pPr>
            <w:r>
              <w:rPr>
                <w:rFonts w:hint="eastAsia" w:ascii="仿宋_GB2312" w:hAnsi="仿宋_GB2312" w:eastAsia="仿宋_GB2312" w:cs="仿宋_GB2312"/>
                <w:b w:val="0"/>
                <w:bCs w:val="0"/>
                <w:sz w:val="32"/>
                <w:szCs w:val="32"/>
                <w:vertAlign w:val="baseline"/>
                <w:lang w:val="en-US" w:eastAsia="zh-CN"/>
                <w14:ligatures w14:val="none"/>
              </w:rPr>
              <w:t>彭新建</w:t>
            </w:r>
          </w:p>
        </w:tc>
        <w:tc>
          <w:tcPr>
            <w:tcW w:w="1848" w:type="pct"/>
            <w:vAlign w:val="center"/>
          </w:tcPr>
          <w:p w14:paraId="312635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kern w:val="2"/>
                <w:sz w:val="32"/>
                <w:szCs w:val="32"/>
                <w:vertAlign w:val="baseline"/>
                <w:lang w:val="en-US" w:eastAsia="zh-CN" w:bidi="ar-SA"/>
                <w14:ligatures w14:val="none"/>
              </w:rPr>
            </w:pPr>
            <w:r>
              <w:rPr>
                <w:rFonts w:hint="eastAsia" w:ascii="仿宋_GB2312" w:hAnsi="仿宋_GB2312" w:eastAsia="仿宋_GB2312" w:cs="仿宋_GB2312"/>
                <w:b w:val="0"/>
                <w:bCs w:val="0"/>
                <w:sz w:val="32"/>
                <w:szCs w:val="32"/>
                <w:vertAlign w:val="baseline"/>
                <w:lang w:val="en-US" w:eastAsia="zh-CN"/>
                <w14:ligatures w14:val="none"/>
              </w:rPr>
              <w:t>区发改委、区工信局、区市场监督管理局、昌江产业园管委会</w:t>
            </w:r>
          </w:p>
        </w:tc>
      </w:tr>
      <w:tr w14:paraId="46CE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trPr>
        <w:tc>
          <w:tcPr>
            <w:tcW w:w="558" w:type="pct"/>
            <w:vAlign w:val="center"/>
          </w:tcPr>
          <w:p w14:paraId="4EB50A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kern w:val="2"/>
                <w:sz w:val="32"/>
                <w:szCs w:val="32"/>
                <w:vertAlign w:val="baseline"/>
                <w:lang w:val="en-US" w:eastAsia="zh-CN" w:bidi="ar-SA"/>
                <w14:ligatures w14:val="none"/>
              </w:rPr>
            </w:pPr>
            <w:r>
              <w:rPr>
                <w:rFonts w:hint="eastAsia" w:ascii="仿宋_GB2312" w:hAnsi="仿宋_GB2312" w:eastAsia="仿宋_GB2312" w:cs="仿宋_GB2312"/>
                <w:b w:val="0"/>
                <w:bCs w:val="0"/>
                <w:sz w:val="32"/>
                <w:szCs w:val="32"/>
                <w:vertAlign w:val="baseline"/>
                <w:lang w:val="en-US" w:eastAsia="zh-CN"/>
                <w14:ligatures w14:val="none"/>
              </w:rPr>
              <w:t>3</w:t>
            </w:r>
          </w:p>
        </w:tc>
        <w:tc>
          <w:tcPr>
            <w:tcW w:w="1580" w:type="pct"/>
            <w:vAlign w:val="center"/>
          </w:tcPr>
          <w:p w14:paraId="70BBDC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kern w:val="2"/>
                <w:sz w:val="32"/>
                <w:szCs w:val="32"/>
                <w:vertAlign w:val="baseline"/>
                <w:lang w:val="en-US" w:eastAsia="zh-CN" w:bidi="ar-SA"/>
                <w14:ligatures w14:val="none"/>
              </w:rPr>
            </w:pPr>
            <w:r>
              <w:rPr>
                <w:rFonts w:hint="eastAsia" w:ascii="仿宋_GB2312" w:hAnsi="仿宋_GB2312" w:eastAsia="仿宋_GB2312" w:cs="仿宋_GB2312"/>
                <w:b w:val="0"/>
                <w:bCs w:val="0"/>
                <w:sz w:val="32"/>
                <w:szCs w:val="32"/>
                <w:vertAlign w:val="baseline"/>
                <w:lang w:val="en-US" w:eastAsia="zh-CN"/>
                <w14:ligatures w14:val="none"/>
              </w:rPr>
              <w:t>电子信息产业链</w:t>
            </w:r>
          </w:p>
        </w:tc>
        <w:tc>
          <w:tcPr>
            <w:tcW w:w="1012" w:type="pct"/>
            <w:vAlign w:val="center"/>
          </w:tcPr>
          <w:p w14:paraId="283B3B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32"/>
                <w:szCs w:val="32"/>
                <w:vertAlign w:val="baseline"/>
                <w:lang w:val="en-US" w:eastAsia="zh-CN"/>
                <w14:ligatures w14:val="none"/>
              </w:rPr>
            </w:pPr>
            <w:r>
              <w:rPr>
                <w:rFonts w:hint="eastAsia" w:ascii="仿宋_GB2312" w:hAnsi="仿宋_GB2312" w:eastAsia="仿宋_GB2312" w:cs="仿宋_GB2312"/>
                <w:b w:val="0"/>
                <w:bCs w:val="0"/>
                <w:sz w:val="32"/>
                <w:szCs w:val="32"/>
                <w:vertAlign w:val="baseline"/>
                <w:lang w:val="en-US" w:eastAsia="zh-CN"/>
                <w14:ligatures w14:val="none"/>
              </w:rPr>
              <w:t>聂  刚</w:t>
            </w:r>
          </w:p>
        </w:tc>
        <w:tc>
          <w:tcPr>
            <w:tcW w:w="1848" w:type="pct"/>
            <w:vAlign w:val="center"/>
          </w:tcPr>
          <w:p w14:paraId="27CC8B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32"/>
                <w:szCs w:val="32"/>
                <w:vertAlign w:val="baseline"/>
                <w:lang w:val="en-US" w:eastAsia="zh-CN"/>
                <w14:ligatures w14:val="none"/>
              </w:rPr>
            </w:pPr>
            <w:r>
              <w:rPr>
                <w:rFonts w:hint="eastAsia" w:ascii="仿宋_GB2312" w:hAnsi="仿宋_GB2312" w:eastAsia="仿宋_GB2312" w:cs="仿宋_GB2312"/>
                <w:b w:val="0"/>
                <w:bCs w:val="0"/>
                <w:sz w:val="32"/>
                <w:szCs w:val="32"/>
                <w:vertAlign w:val="baseline"/>
                <w:lang w:val="en-US" w:eastAsia="zh-CN"/>
                <w14:ligatures w14:val="none"/>
              </w:rPr>
              <w:t>区科技局、区工信局、昌江产业园管委会</w:t>
            </w:r>
          </w:p>
        </w:tc>
      </w:tr>
    </w:tbl>
    <w:p w14:paraId="694DCE55">
      <w:pPr>
        <w:rPr>
          <w:rFonts w:hint="eastAsia" w:ascii="方正小标宋简体" w:hAnsi="方正小标宋简体" w:eastAsia="方正小标宋简体" w:cs="方正小标宋简体"/>
          <w:b w:val="0"/>
          <w:bCs w:val="0"/>
          <w:sz w:val="44"/>
          <w:szCs w:val="44"/>
          <w:lang w:val="en-US" w:eastAsia="zh-CN"/>
          <w14:ligatures w14:val="none"/>
        </w:rPr>
      </w:pPr>
      <w:r>
        <w:rPr>
          <w:rFonts w:hint="eastAsia" w:ascii="方正小标宋简体" w:hAnsi="方正小标宋简体" w:eastAsia="方正小标宋简体" w:cs="方正小标宋简体"/>
          <w:b w:val="0"/>
          <w:bCs w:val="0"/>
          <w:sz w:val="44"/>
          <w:szCs w:val="44"/>
          <w:lang w:val="en-US" w:eastAsia="zh-CN"/>
          <w14:ligatures w14:val="none"/>
        </w:rPr>
        <w:br w:type="page"/>
      </w:r>
    </w:p>
    <w:p w14:paraId="02FFF1D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bCs/>
          <w:sz w:val="32"/>
          <w:szCs w:val="32"/>
          <w:lang w:val="en-US" w:eastAsia="zh-CN"/>
          <w14:ligatures w14:val="none"/>
        </w:rPr>
      </w:pPr>
      <w:r>
        <w:rPr>
          <w:rFonts w:hint="eastAsia" w:ascii="仿宋_GB2312" w:hAnsi="仿宋_GB2312" w:eastAsia="仿宋_GB2312" w:cs="仿宋_GB2312"/>
          <w:b/>
          <w:bCs/>
          <w:sz w:val="32"/>
          <w:szCs w:val="32"/>
          <w:lang w:val="en-US" w:eastAsia="zh-CN"/>
          <w14:ligatures w14:val="none"/>
        </w:rPr>
        <w:t>附件2</w:t>
      </w:r>
    </w:p>
    <w:p w14:paraId="7D7D6758">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方正小标宋简体" w:hAnsi="方正小标宋简体" w:eastAsia="方正小标宋简体" w:cs="方正小标宋简体"/>
          <w:b w:val="0"/>
          <w:bCs w:val="0"/>
          <w:sz w:val="44"/>
          <w:szCs w:val="44"/>
          <w:lang w:val="en-US" w:eastAsia="zh-CN"/>
          <w14:ligatures w14:val="none"/>
        </w:rPr>
      </w:pPr>
    </w:p>
    <w:p w14:paraId="1F80A2A5">
      <w:pPr>
        <w:pStyle w:val="16"/>
        <w:widowControl/>
        <w:shd w:val="clear" w:color="auto" w:fill="FFFFFF"/>
        <w:spacing w:beforeAutospacing="0" w:afterAutospacing="0" w:line="580" w:lineRule="exact"/>
        <w:jc w:val="center"/>
        <w:rPr>
          <w:rStyle w:val="22"/>
          <w:rFonts w:hint="eastAsia" w:ascii="方正小标宋简体" w:hAnsi="方正小标宋简体" w:eastAsia="方正小标宋简体" w:cs="方正小标宋简体"/>
          <w:b w:val="0"/>
          <w:bCs/>
          <w:sz w:val="44"/>
          <w:szCs w:val="44"/>
          <w:shd w:val="clear" w:color="auto" w:fill="FFFFFF"/>
        </w:rPr>
      </w:pPr>
      <w:r>
        <w:rPr>
          <w:rStyle w:val="22"/>
          <w:rFonts w:hint="eastAsia" w:ascii="方正小标宋简体" w:hAnsi="方正小标宋简体" w:eastAsia="方正小标宋简体" w:cs="方正小标宋简体"/>
          <w:b w:val="0"/>
          <w:bCs/>
          <w:sz w:val="44"/>
          <w:szCs w:val="44"/>
          <w:shd w:val="clear" w:color="auto" w:fill="FFFFFF"/>
        </w:rPr>
        <w:t>昌江区精细化工和生物医药产业链现代化建设行动方案（2024-2026年）</w:t>
      </w:r>
    </w:p>
    <w:p w14:paraId="0DEA6FD2">
      <w:pPr>
        <w:pStyle w:val="16"/>
        <w:widowControl/>
        <w:shd w:val="clear" w:color="auto" w:fill="FFFFFF"/>
        <w:spacing w:beforeAutospacing="0" w:afterAutospacing="0" w:line="580" w:lineRule="exact"/>
        <w:jc w:val="center"/>
        <w:rPr>
          <w:rStyle w:val="22"/>
          <w:rFonts w:hint="eastAsia" w:ascii="宋体" w:hAnsi="宋体" w:eastAsia="宋体" w:cs="方正小标宋简体"/>
          <w:sz w:val="44"/>
          <w:szCs w:val="44"/>
          <w:shd w:val="clear" w:color="auto" w:fill="FFFFFF"/>
          <w:lang w:eastAsia="zh-CN"/>
        </w:rPr>
      </w:pPr>
    </w:p>
    <w:p w14:paraId="499FCCC0">
      <w:pPr>
        <w:ind w:firstLine="640" w:firstLineChars="200"/>
        <w:rPr>
          <w:rFonts w:ascii="仿宋_GB2312" w:hAnsi="仿宋_GB2312" w:eastAsia="仿宋_GB2312" w:cs="仿宋_GB2312"/>
          <w:kern w:val="0"/>
          <w:sz w:val="32"/>
          <w:szCs w:val="32"/>
          <w:shd w:val="clear" w:color="auto" w:fill="FFFFFF"/>
          <w14:ligatures w14:val="none"/>
        </w:rPr>
      </w:pPr>
      <w:r>
        <w:rPr>
          <w:rFonts w:hint="eastAsia" w:ascii="仿宋_GB2312" w:hAnsi="仿宋_GB2312" w:eastAsia="仿宋_GB2312" w:cs="仿宋_GB2312"/>
          <w:kern w:val="0"/>
          <w:sz w:val="32"/>
          <w:szCs w:val="32"/>
          <w:shd w:val="clear" w:color="auto" w:fill="FFFFFF"/>
          <w14:ligatures w14:val="none"/>
        </w:rPr>
        <w:t>为进一步提升精细化工和生物医药产业链韧性、竞争力和安全水平，着力推动产业基础高级化、产业链现代化，推动全区精细化工和生物医药产业链高质量发展，特制定本行动方案。</w:t>
      </w:r>
    </w:p>
    <w:p w14:paraId="0BA7CD05">
      <w:pPr>
        <w:pStyle w:val="16"/>
        <w:widowControl/>
        <w:shd w:val="clear" w:color="auto" w:fill="FFFFFF"/>
        <w:spacing w:beforeAutospacing="0" w:afterAutospacing="0" w:line="580" w:lineRule="exact"/>
        <w:ind w:firstLine="640" w:firstLineChars="200"/>
        <w:rPr>
          <w:rFonts w:hint="eastAsia" w:ascii="黑体" w:hAnsi="黑体" w:eastAsia="黑体" w:cs="黑体"/>
          <w:b w:val="0"/>
          <w:bCs/>
          <w:sz w:val="32"/>
          <w:szCs w:val="32"/>
        </w:rPr>
      </w:pPr>
      <w:r>
        <w:rPr>
          <w:rStyle w:val="22"/>
          <w:rFonts w:hint="eastAsia" w:ascii="黑体" w:hAnsi="黑体" w:eastAsia="黑体" w:cs="黑体"/>
          <w:b w:val="0"/>
          <w:bCs/>
          <w:sz w:val="32"/>
          <w:szCs w:val="32"/>
          <w:shd w:val="clear" w:color="auto" w:fill="FFFFFF"/>
        </w:rPr>
        <w:t>一、总体要求</w:t>
      </w:r>
    </w:p>
    <w:p w14:paraId="4AB55C1A">
      <w:pPr>
        <w:pStyle w:val="16"/>
        <w:widowControl/>
        <w:shd w:val="clear" w:color="auto" w:fill="FFFFFF"/>
        <w:spacing w:beforeAutospacing="0" w:afterAutospacing="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以习近平新时代中国特色社会主义思想为指导，全面贯彻党的二十大和习近平总书记</w:t>
      </w:r>
      <w:r>
        <w:rPr>
          <w:rFonts w:hint="eastAsia" w:ascii="仿宋_GB2312" w:hAnsi="仿宋_GB2312" w:eastAsia="仿宋_GB2312" w:cs="仿宋_GB2312"/>
          <w:sz w:val="32"/>
          <w:szCs w:val="32"/>
          <w:lang w:val="en-US" w:eastAsia="zh-CN"/>
        </w:rPr>
        <w:t>考</w:t>
      </w:r>
      <w:r>
        <w:rPr>
          <w:rFonts w:hint="eastAsia" w:ascii="仿宋_GB2312" w:hAnsi="仿宋_GB2312" w:eastAsia="仿宋_GB2312" w:cs="仿宋_GB2312"/>
          <w:sz w:val="32"/>
          <w:szCs w:val="32"/>
        </w:rPr>
        <w:t>察江西重要讲话精神，以鱼山医药产业园为主平台，黑猫股份、富祥药业、景焦能源、凌富生物科技等龙头企业为重点，聚焦化工新材料、基础化工、生物医药等优势子产业链，按照强链、延链、补链、建链的要求，推动全区精细化工和生物医药产业链朝规模化、高端化、绿色化、智能化方向发展，全力提升全区精细化工和生物医药产业基础高级化、产业链现代化水平，做优做强精细化工和生物医药产业。</w:t>
      </w:r>
    </w:p>
    <w:p w14:paraId="31946845">
      <w:pPr>
        <w:pStyle w:val="16"/>
        <w:widowControl/>
        <w:shd w:val="clear" w:color="auto" w:fill="FFFFFF"/>
        <w:spacing w:beforeAutospacing="0" w:afterAutospacing="0"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到2026年，精细化工和生物医药产业链强链、延链、补链、建链取得突破，全区精细化工和生物医药产业链营业收入突破200亿元。</w:t>
      </w:r>
    </w:p>
    <w:p w14:paraId="0E6FB117">
      <w:pPr>
        <w:pStyle w:val="16"/>
        <w:widowControl/>
        <w:shd w:val="clear" w:color="auto" w:fill="FFFFFF"/>
        <w:spacing w:beforeAutospacing="0" w:afterAutospacing="0" w:line="580" w:lineRule="exact"/>
        <w:ind w:firstLine="640" w:firstLineChars="200"/>
        <w:rPr>
          <w:rStyle w:val="22"/>
          <w:rFonts w:hint="eastAsia" w:ascii="黑体" w:hAnsi="黑体" w:eastAsia="黑体" w:cs="黑体"/>
          <w:b w:val="0"/>
          <w:bCs/>
          <w:sz w:val="32"/>
          <w:szCs w:val="32"/>
          <w:shd w:val="clear" w:color="auto" w:fill="FFFFFF"/>
        </w:rPr>
      </w:pPr>
      <w:r>
        <w:rPr>
          <w:rStyle w:val="22"/>
          <w:rFonts w:hint="eastAsia" w:ascii="黑体" w:hAnsi="黑体" w:eastAsia="黑体" w:cs="黑体"/>
          <w:b w:val="0"/>
          <w:bCs/>
          <w:sz w:val="32"/>
          <w:szCs w:val="32"/>
          <w:shd w:val="clear" w:color="auto" w:fill="FFFFFF"/>
        </w:rPr>
        <w:t>二、主要举措</w:t>
      </w:r>
    </w:p>
    <w:p w14:paraId="3B552B61">
      <w:pPr>
        <w:pStyle w:val="16"/>
        <w:widowControl/>
        <w:shd w:val="clear" w:color="auto" w:fill="FFFFFF"/>
        <w:spacing w:beforeAutospacing="0" w:afterAutospacing="0" w:line="580" w:lineRule="exact"/>
        <w:ind w:firstLine="643" w:firstLineChars="200"/>
        <w:rPr>
          <w:rFonts w:ascii="仿宋_GB2312" w:hAnsi="仿宋_GB2312" w:eastAsia="仿宋_GB2312" w:cs="仿宋_GB2312"/>
          <w:sz w:val="32"/>
          <w:szCs w:val="32"/>
          <w:shd w:val="clear" w:color="auto" w:fill="FFFFFF"/>
        </w:rPr>
      </w:pPr>
      <w:r>
        <w:rPr>
          <w:rFonts w:hint="eastAsia" w:ascii="楷体" w:hAnsi="楷体" w:eastAsia="楷体" w:cs="仿宋_GB2312"/>
          <w:b/>
          <w:bCs/>
          <w:sz w:val="32"/>
          <w:szCs w:val="32"/>
          <w:shd w:val="clear" w:color="auto" w:fill="FFFFFF"/>
        </w:rPr>
        <w:t>（一）</w:t>
      </w:r>
      <w:r>
        <w:rPr>
          <w:rStyle w:val="22"/>
          <w:rFonts w:hint="eastAsia" w:ascii="楷体" w:hAnsi="楷体" w:eastAsia="楷体" w:cs="楷体"/>
          <w:sz w:val="32"/>
          <w:szCs w:val="27"/>
          <w:shd w:val="clear" w:color="auto" w:fill="FFFFFF"/>
        </w:rPr>
        <w:t>实施强链、延链、补链、建链行动，提升产业链现代化水平。</w:t>
      </w:r>
      <w:r>
        <w:rPr>
          <w:rFonts w:hint="eastAsia" w:ascii="仿宋_GB2312" w:hAnsi="仿宋_GB2312" w:eastAsia="仿宋_GB2312" w:cs="仿宋_GB2312"/>
          <w:sz w:val="32"/>
          <w:szCs w:val="32"/>
        </w:rPr>
        <w:t>抢抓大力发展“新三样”产业机遇，支持企业向新能源、新材料领域延伸布局。依托富祥药业产业基础，吸引生物医药大企业、大集团前来合作投资，引进能力强、税收贡献大的配套型中小企业，不断推动生物医药产业向集群化、规模化方向发展。</w:t>
      </w:r>
      <w:r>
        <w:rPr>
          <w:rFonts w:hint="eastAsia" w:ascii="仿宋_GB2312" w:hAnsi="仿宋_GB2312" w:eastAsia="仿宋_GB2312" w:cs="仿宋_GB2312"/>
          <w:sz w:val="32"/>
          <w:szCs w:val="32"/>
          <w:shd w:val="clear" w:color="auto" w:fill="FFFFFF"/>
        </w:rPr>
        <w:t>以鱼山医药产业园为主平台，不断推进以景焦能源等企业为龙头的基础化工产业链、以黑猫股份等企业为龙头的新材料产业链、以富祥药业、凌富生物科技等企业为龙头的生物医药产业链向高端升级。实施产业链精准招商，</w:t>
      </w:r>
      <w:r>
        <w:rPr>
          <w:rFonts w:hint="eastAsia" w:ascii="仿宋_GB2312" w:eastAsia="仿宋_GB2312"/>
          <w:sz w:val="32"/>
          <w:szCs w:val="32"/>
        </w:rPr>
        <w:t>围绕行业龙头企业，积极谋划</w:t>
      </w:r>
      <w:r>
        <w:rPr>
          <w:rFonts w:hint="eastAsia" w:ascii="仿宋_GB2312" w:hAnsi="仿宋_GB2312" w:eastAsia="仿宋_GB2312" w:cs="仿宋_GB2312"/>
          <w:sz w:val="32"/>
          <w:szCs w:val="32"/>
          <w:shd w:val="clear" w:color="auto" w:fill="FFFFFF"/>
        </w:rPr>
        <w:t>引进一批与之关联度较大或者上下游的好企业、好项目，</w:t>
      </w:r>
      <w:r>
        <w:rPr>
          <w:rFonts w:hint="eastAsia" w:ascii="仿宋_GB2312" w:eastAsia="仿宋_GB2312"/>
          <w:sz w:val="32"/>
          <w:szCs w:val="32"/>
        </w:rPr>
        <w:t>力争</w:t>
      </w:r>
      <w:r>
        <w:rPr>
          <w:rFonts w:hint="eastAsia" w:ascii="仿宋_GB2312" w:hAnsi="仿宋_GB2312" w:eastAsia="仿宋_GB2312" w:cs="仿宋_GB2312"/>
          <w:sz w:val="32"/>
          <w:szCs w:val="32"/>
          <w:shd w:val="clear" w:color="auto" w:fill="FFFFFF"/>
        </w:rPr>
        <w:t>打通从研发、生产、配套、销售到服务各个环节，</w:t>
      </w:r>
      <w:r>
        <w:rPr>
          <w:rFonts w:hint="eastAsia" w:ascii="仿宋_GB2312" w:eastAsia="仿宋_GB2312"/>
          <w:sz w:val="32"/>
          <w:szCs w:val="32"/>
        </w:rPr>
        <w:t>推进产业链优化整合。</w:t>
      </w:r>
      <w:r>
        <w:rPr>
          <w:rFonts w:hint="eastAsia" w:ascii="仿宋_GB2312" w:hAnsi="仿宋_GB2312" w:eastAsia="仿宋_GB2312" w:cs="仿宋_GB2312"/>
          <w:sz w:val="32"/>
          <w:szCs w:val="32"/>
          <w:shd w:val="clear" w:color="auto" w:fill="FFFFFF"/>
        </w:rPr>
        <w:t>鼓励成长性好、发展潜力大的“专精特新”中小企业与龙头企业建立稳定的合作关系，突破一批关键化工材料和重要原材料的供应瓶颈，提高精细化工和生物医药产业链供应链配套水平。</w:t>
      </w:r>
    </w:p>
    <w:p w14:paraId="538C7F39">
      <w:pPr>
        <w:pStyle w:val="16"/>
        <w:widowControl/>
        <w:shd w:val="clear" w:color="auto" w:fill="FFFFFF"/>
        <w:spacing w:beforeAutospacing="0" w:afterAutospacing="0" w:line="580" w:lineRule="exact"/>
        <w:ind w:firstLine="643" w:firstLineChars="200"/>
        <w:rPr>
          <w:rFonts w:ascii="仿宋_GB2312" w:hAnsi="仿宋_GB2312" w:eastAsia="仿宋_GB2312" w:cs="仿宋_GB2312"/>
          <w:sz w:val="32"/>
          <w:szCs w:val="32"/>
          <w:shd w:val="clear" w:color="auto" w:fill="FFFFFF"/>
        </w:rPr>
      </w:pPr>
      <w:r>
        <w:rPr>
          <w:rStyle w:val="22"/>
          <w:rFonts w:hint="eastAsia" w:ascii="楷体" w:hAnsi="楷体" w:eastAsia="楷体" w:cs="楷体"/>
          <w:sz w:val="32"/>
          <w:szCs w:val="27"/>
          <w:shd w:val="clear" w:color="auto" w:fill="FFFFFF"/>
        </w:rPr>
        <w:t>（二）实施龙头企业培育行动，推进企业梯次提升。</w:t>
      </w:r>
      <w:r>
        <w:rPr>
          <w:rFonts w:hint="eastAsia" w:ascii="仿宋_GB2312" w:hAnsi="仿宋_GB2312" w:eastAsia="仿宋_GB2312" w:cs="仿宋_GB2312"/>
          <w:sz w:val="32"/>
          <w:szCs w:val="32"/>
          <w:shd w:val="clear" w:color="auto" w:fill="FFFFFF"/>
        </w:rPr>
        <w:t>支持发展基础好、科技实力强，具有行业领先技术的精细化工和生物医药企业做大做强，</w:t>
      </w:r>
      <w:r>
        <w:rPr>
          <w:rFonts w:ascii="仿宋_GB2312" w:hAnsi="仿宋_GB2312" w:eastAsia="仿宋_GB2312" w:cs="仿宋_GB2312"/>
          <w:sz w:val="32"/>
          <w:szCs w:val="32"/>
          <w:shd w:val="clear" w:color="auto" w:fill="FFFFFF"/>
        </w:rPr>
        <w:t>建立重点培育清单，</w:t>
      </w:r>
      <w:r>
        <w:rPr>
          <w:rFonts w:hint="eastAsia" w:ascii="仿宋_GB2312" w:hAnsi="仿宋_GB2312" w:eastAsia="仿宋_GB2312" w:cs="仿宋_GB2312"/>
          <w:sz w:val="32"/>
          <w:szCs w:val="32"/>
          <w:shd w:val="clear" w:color="auto" w:fill="FFFFFF"/>
        </w:rPr>
        <w:t>实施</w:t>
      </w:r>
      <w:r>
        <w:rPr>
          <w:rFonts w:ascii="仿宋_GB2312" w:hAnsi="仿宋_GB2312" w:eastAsia="仿宋_GB2312" w:cs="仿宋_GB2312"/>
          <w:sz w:val="32"/>
          <w:szCs w:val="32"/>
          <w:shd w:val="clear" w:color="auto" w:fill="FFFFFF"/>
        </w:rPr>
        <w:t>一企一策</w:t>
      </w:r>
      <w:r>
        <w:rPr>
          <w:rFonts w:hint="eastAsia" w:ascii="仿宋_GB2312" w:hAnsi="仿宋_GB2312" w:eastAsia="仿宋_GB2312" w:cs="仿宋_GB2312"/>
          <w:sz w:val="32"/>
          <w:szCs w:val="32"/>
          <w:shd w:val="clear" w:color="auto" w:fill="FFFFFF"/>
        </w:rPr>
        <w:t>，</w:t>
      </w:r>
      <w:r>
        <w:rPr>
          <w:rFonts w:ascii="仿宋_GB2312" w:hAnsi="仿宋_GB2312" w:eastAsia="仿宋_GB2312" w:cs="仿宋_GB2312"/>
          <w:sz w:val="32"/>
          <w:szCs w:val="32"/>
          <w:shd w:val="clear" w:color="auto" w:fill="FFFFFF"/>
        </w:rPr>
        <w:t>打造一批链主企业。</w:t>
      </w:r>
      <w:r>
        <w:rPr>
          <w:rFonts w:hint="eastAsia" w:ascii="仿宋_GB2312" w:hAnsi="仿宋_GB2312" w:eastAsia="仿宋_GB2312" w:cs="仿宋_GB2312"/>
          <w:sz w:val="32"/>
          <w:szCs w:val="32"/>
          <w:shd w:val="clear" w:color="auto" w:fill="FFFFFF"/>
        </w:rPr>
        <w:t>支持黑猫股份、富祥药业等企业，通过兼并重组和技术改造，拓展发展空间，成为在精细化工和生物医药全领域产业链关键节点上的骨干企业。全面排查摸清全区具有成长潜力的精细化工和生物医药企业资源，健全全区“小升规”企业培育库，及时将达到要求的企业入规入统，做到应入尽入。深入开展创新型中小企业、“专精特新”中小企业、“小巨人”企业、制造业单项冠军企业培育工作，鼓励中小企业围绕产业链上下游走专精特新发展道路。</w:t>
      </w:r>
    </w:p>
    <w:p w14:paraId="7CA3AB13">
      <w:pPr>
        <w:pStyle w:val="4"/>
        <w:spacing w:line="600" w:lineRule="exact"/>
        <w:ind w:firstLine="643"/>
        <w:rPr>
          <w:rFonts w:hint="default" w:ascii="仿宋_GB2312" w:hAnsi="仿宋_GB2312" w:eastAsia="仿宋_GB2312" w:cs="仿宋_GB2312"/>
          <w:b/>
          <w:bCs/>
          <w:sz w:val="32"/>
          <w:szCs w:val="32"/>
        </w:rPr>
      </w:pPr>
      <w:r>
        <w:rPr>
          <w:rStyle w:val="22"/>
          <w:rFonts w:ascii="楷体" w:hAnsi="楷体" w:eastAsia="楷体" w:cs="楷体"/>
          <w:sz w:val="32"/>
          <w:szCs w:val="27"/>
          <w:shd w:val="clear" w:color="auto" w:fill="FFFFFF"/>
        </w:rPr>
        <w:t>（三）实施产业科研及公共服务平台创建行动，增强科技创新能力。</w:t>
      </w:r>
      <w:r>
        <w:rPr>
          <w:rFonts w:ascii="仿宋_GB2312" w:hAnsi="仿宋_GB2312" w:eastAsia="仿宋_GB2312" w:cs="仿宋_GB2312"/>
          <w:sz w:val="32"/>
          <w:szCs w:val="32"/>
          <w:shd w:val="clear" w:color="auto" w:fill="FFFFFF"/>
        </w:rPr>
        <w:t>支持链主企业建设国家级、省级和市级企业技术中心、工程技术研究中心等创新平台。鼓励高校、化工科研院所与园区及大型骨干企业强强联合，组建产业技术创新战略联盟。</w:t>
      </w:r>
      <w:r>
        <w:rPr>
          <w:rFonts w:ascii="仿宋_GB2312" w:hAnsi="仿宋_GB2312" w:eastAsia="仿宋_GB2312" w:cs="仿宋_GB2312"/>
          <w:sz w:val="32"/>
          <w:szCs w:val="32"/>
        </w:rPr>
        <w:t>整合创新资源，做强“科创飞地”，建好富祥研究院、富祥药业-江南大学微生物蛋白联合研究中心等研发平台。积极对接省现代产业引导基金、省科创基金，构建科技创新联合体，推动“科技、产业、金融”良性循环。</w:t>
      </w:r>
      <w:r>
        <w:rPr>
          <w:rFonts w:ascii="仿宋_GB2312" w:hAnsi="仿宋_GB2312" w:eastAsia="仿宋_GB2312" w:cs="仿宋_GB2312"/>
          <w:sz w:val="32"/>
          <w:szCs w:val="32"/>
          <w:shd w:val="clear" w:color="auto" w:fill="FFFFFF"/>
        </w:rPr>
        <w:t>搭建链条企业技术交流、产销对接、创新活动平台，引进、深化新一代信息技术在精细化工和生物医药产业中的应用。推进一批智能制造单元、数字化车间、智能工厂建设，推动精细化工和生物医药产业朝着集约化、智能化的方向发展。</w:t>
      </w:r>
    </w:p>
    <w:p w14:paraId="360536BA">
      <w:pPr>
        <w:pStyle w:val="16"/>
        <w:widowControl/>
        <w:shd w:val="clear" w:color="auto" w:fill="FFFFFF"/>
        <w:spacing w:beforeAutospacing="0" w:afterAutospacing="0" w:line="580" w:lineRule="exact"/>
        <w:ind w:firstLine="643" w:firstLineChars="200"/>
        <w:rPr>
          <w:rFonts w:ascii="仿宋_GB2312" w:hAnsi="仿宋_GB2312" w:eastAsia="仿宋_GB2312" w:cs="仿宋_GB2312"/>
          <w:sz w:val="32"/>
          <w:szCs w:val="32"/>
          <w:shd w:val="clear" w:color="auto" w:fill="FFFFFF"/>
        </w:rPr>
      </w:pPr>
      <w:r>
        <w:rPr>
          <w:rStyle w:val="22"/>
          <w:rFonts w:hint="eastAsia" w:ascii="楷体" w:hAnsi="楷体" w:eastAsia="楷体" w:cs="楷体"/>
          <w:sz w:val="32"/>
          <w:szCs w:val="27"/>
          <w:shd w:val="clear" w:color="auto" w:fill="FFFFFF"/>
        </w:rPr>
        <w:t>（四）实施技术改造行动，推进绿色安全发展。</w:t>
      </w:r>
      <w:r>
        <w:rPr>
          <w:rFonts w:hint="eastAsia" w:ascii="仿宋_GB2312" w:hAnsi="仿宋_GB2312" w:eastAsia="仿宋_GB2312" w:cs="仿宋_GB2312"/>
          <w:sz w:val="32"/>
          <w:szCs w:val="32"/>
          <w:shd w:val="clear" w:color="auto" w:fill="FFFFFF"/>
        </w:rPr>
        <w:t>推进精细化工和生物医药产业碳达峰，指导重点精细化工和生物医药企业制定碳达峰工作方案。鼓励景焦能源等重点基础化工和富祥药业等重点生物医药企业加快生产工艺流程改造，推广绿色制造新技术、新工艺、新装备，推进清洁能源替代，提升余热回收水平，优化能源梯度利用，推动单位产品能耗持续下降。推广新工艺、新设备，实现全产业链绿色清洁生产，鼓励企业创建绿色工厂、节水型企业。鼓励精细化工和医药企业加强资源综合利用，倡导“资源</w:t>
      </w:r>
      <w:r>
        <w:rPr>
          <w:rFonts w:ascii="仿宋_GB2312" w:hAnsi="仿宋_GB2312" w:eastAsia="仿宋_GB2312" w:cs="仿宋_GB2312"/>
          <w:sz w:val="32"/>
          <w:szCs w:val="32"/>
          <w:shd w:val="clear" w:color="auto" w:fill="FFFFFF"/>
        </w:rPr>
        <w:t>-产品-再生资源”的发展模式，加强企业精益管理，从源头上减少</w:t>
      </w:r>
      <w:r>
        <w:rPr>
          <w:rFonts w:hint="eastAsia" w:ascii="仿宋_GB2312" w:hAnsi="仿宋_GB2312" w:eastAsia="仿宋_GB2312" w:cs="仿宋_GB2312"/>
          <w:sz w:val="32"/>
          <w:szCs w:val="32"/>
          <w:shd w:val="clear" w:color="auto" w:fill="FFFFFF"/>
        </w:rPr>
        <w:t>“</w:t>
      </w:r>
      <w:r>
        <w:rPr>
          <w:rFonts w:ascii="仿宋_GB2312" w:hAnsi="仿宋_GB2312" w:eastAsia="仿宋_GB2312" w:cs="仿宋_GB2312"/>
          <w:sz w:val="32"/>
          <w:szCs w:val="32"/>
          <w:shd w:val="clear" w:color="auto" w:fill="FFFFFF"/>
        </w:rPr>
        <w:t>三废</w:t>
      </w:r>
      <w:r>
        <w:rPr>
          <w:rFonts w:hint="eastAsia" w:ascii="仿宋_GB2312" w:hAnsi="仿宋_GB2312" w:eastAsia="仿宋_GB2312" w:cs="仿宋_GB2312"/>
          <w:sz w:val="32"/>
          <w:szCs w:val="32"/>
          <w:shd w:val="clear" w:color="auto" w:fill="FFFFFF"/>
        </w:rPr>
        <w:t>”</w:t>
      </w:r>
      <w:r>
        <w:rPr>
          <w:rFonts w:ascii="仿宋_GB2312" w:hAnsi="仿宋_GB2312" w:eastAsia="仿宋_GB2312" w:cs="仿宋_GB2312"/>
          <w:sz w:val="32"/>
          <w:szCs w:val="32"/>
          <w:shd w:val="clear" w:color="auto" w:fill="FFFFFF"/>
        </w:rPr>
        <w:t>产生。</w:t>
      </w:r>
      <w:r>
        <w:rPr>
          <w:rFonts w:hint="eastAsia" w:ascii="仿宋_GB2312" w:hAnsi="仿宋_GB2312" w:eastAsia="仿宋_GB2312" w:cs="仿宋_GB2312"/>
          <w:sz w:val="32"/>
          <w:szCs w:val="32"/>
          <w:shd w:val="clear" w:color="auto" w:fill="FFFFFF"/>
        </w:rPr>
        <w:t>严格项目准入，</w:t>
      </w:r>
      <w:r>
        <w:rPr>
          <w:rFonts w:ascii="仿宋_GB2312" w:hAnsi="仿宋_GB2312" w:eastAsia="仿宋_GB2312" w:cs="仿宋_GB2312"/>
          <w:sz w:val="32"/>
          <w:szCs w:val="32"/>
          <w:shd w:val="clear" w:color="auto" w:fill="FFFFFF"/>
        </w:rPr>
        <w:t>淘汰一批生产能耗较大、环境污染严重、附加值较低的企业</w:t>
      </w:r>
      <w:r>
        <w:rPr>
          <w:rFonts w:hint="eastAsia" w:ascii="仿宋_GB2312" w:hAnsi="仿宋_GB2312" w:eastAsia="仿宋_GB2312" w:cs="仿宋_GB2312"/>
          <w:sz w:val="32"/>
          <w:szCs w:val="32"/>
          <w:shd w:val="clear" w:color="auto" w:fill="FFFFFF"/>
        </w:rPr>
        <w:t>。全面推行循环生产方式，从基础设计到生产运营阶段，全流程推动技术、工艺、装备的不断升级进步，构建循环经济产业链。</w:t>
      </w:r>
    </w:p>
    <w:p w14:paraId="2548805C">
      <w:pPr>
        <w:pStyle w:val="16"/>
        <w:widowControl/>
        <w:shd w:val="clear" w:color="auto" w:fill="FFFFFF"/>
        <w:spacing w:beforeAutospacing="0" w:afterAutospacing="0" w:line="580" w:lineRule="exact"/>
        <w:ind w:firstLine="640" w:firstLineChars="200"/>
        <w:rPr>
          <w:rStyle w:val="22"/>
          <w:rFonts w:hint="eastAsia" w:ascii="黑体" w:hAnsi="黑体" w:eastAsia="黑体" w:cs="黑体"/>
          <w:b w:val="0"/>
          <w:bCs/>
          <w:sz w:val="32"/>
          <w:szCs w:val="32"/>
          <w:shd w:val="clear" w:color="auto" w:fill="FFFFFF"/>
        </w:rPr>
      </w:pPr>
      <w:r>
        <w:rPr>
          <w:rStyle w:val="22"/>
          <w:rFonts w:hint="eastAsia" w:ascii="黑体" w:hAnsi="黑体" w:eastAsia="黑体" w:cs="黑体"/>
          <w:b w:val="0"/>
          <w:bCs/>
          <w:sz w:val="32"/>
          <w:szCs w:val="32"/>
          <w:shd w:val="clear" w:color="auto" w:fill="FFFFFF"/>
        </w:rPr>
        <w:t>三、组织实施</w:t>
      </w:r>
    </w:p>
    <w:p w14:paraId="5A5B8C3B">
      <w:pPr>
        <w:pStyle w:val="16"/>
        <w:widowControl/>
        <w:shd w:val="clear" w:color="auto" w:fill="FFFFFF"/>
        <w:spacing w:beforeAutospacing="0" w:afterAutospacing="0" w:line="580" w:lineRule="exact"/>
        <w:ind w:firstLine="643" w:firstLineChars="200"/>
        <w:rPr>
          <w:rFonts w:ascii="仿宋_GB2312" w:hAnsi="仿宋_GB2312" w:eastAsia="仿宋_GB2312" w:cs="仿宋_GB2312"/>
          <w:sz w:val="32"/>
          <w:szCs w:val="32"/>
          <w:shd w:val="clear" w:color="auto" w:fill="FFFFFF"/>
        </w:rPr>
      </w:pPr>
      <w:r>
        <w:rPr>
          <w:rFonts w:ascii="楷体" w:hAnsi="楷体" w:eastAsia="楷体" w:cs="仿宋_GB2312"/>
          <w:b/>
          <w:bCs/>
          <w:sz w:val="32"/>
          <w:szCs w:val="32"/>
          <w:shd w:val="clear" w:color="auto" w:fill="FFFFFF"/>
        </w:rPr>
        <w:t>(一)</w:t>
      </w:r>
      <w:r>
        <w:rPr>
          <w:rFonts w:hint="eastAsia" w:ascii="楷体" w:hAnsi="楷体" w:eastAsia="楷体" w:cs="仿宋_GB2312"/>
          <w:b/>
          <w:bCs/>
          <w:sz w:val="32"/>
          <w:szCs w:val="32"/>
          <w:shd w:val="clear" w:color="auto" w:fill="FFFFFF"/>
        </w:rPr>
        <w:t>强化组织领导。</w:t>
      </w:r>
      <w:r>
        <w:rPr>
          <w:rFonts w:hint="eastAsia" w:ascii="仿宋_GB2312" w:hAnsi="仿宋_GB2312" w:eastAsia="仿宋_GB2312" w:cs="仿宋_GB2312"/>
          <w:sz w:val="32"/>
          <w:szCs w:val="32"/>
          <w:shd w:val="clear" w:color="auto" w:fill="FFFFFF"/>
        </w:rPr>
        <w:t>全面落实《关于实施昌江区产业链链长制工作方案》，充分发挥区精细化工和生物医药产业链链长制工作机制，建立产业部门协调机制，形成职责明晰、协同推进的工作格局。实行工作例会和联席会议制度，定期研究精细化工和生物医药产业发展中的重大事项和问题。</w:t>
      </w:r>
    </w:p>
    <w:p w14:paraId="1153A527">
      <w:pPr>
        <w:pStyle w:val="16"/>
        <w:widowControl/>
        <w:shd w:val="clear" w:color="auto" w:fill="FFFFFF"/>
        <w:spacing w:beforeAutospacing="0" w:afterAutospacing="0" w:line="580" w:lineRule="exact"/>
        <w:ind w:firstLine="643" w:firstLineChars="200"/>
        <w:rPr>
          <w:rFonts w:ascii="仿宋_GB2312" w:hAnsi="仿宋_GB2312" w:eastAsia="仿宋_GB2312" w:cs="仿宋_GB2312"/>
          <w:sz w:val="32"/>
          <w:szCs w:val="32"/>
          <w:shd w:val="clear" w:color="auto" w:fill="FFFFFF"/>
        </w:rPr>
      </w:pPr>
      <w:r>
        <w:rPr>
          <w:rFonts w:ascii="楷体" w:hAnsi="楷体" w:eastAsia="楷体" w:cs="仿宋_GB2312"/>
          <w:b/>
          <w:bCs/>
          <w:sz w:val="32"/>
          <w:szCs w:val="32"/>
          <w:shd w:val="clear" w:color="auto" w:fill="FFFFFF"/>
        </w:rPr>
        <w:t xml:space="preserve"> (二)</w:t>
      </w:r>
      <w:r>
        <w:rPr>
          <w:rFonts w:hint="eastAsia" w:ascii="楷体" w:hAnsi="楷体" w:eastAsia="楷体" w:cs="仿宋_GB2312"/>
          <w:b/>
          <w:bCs/>
          <w:sz w:val="32"/>
          <w:szCs w:val="32"/>
          <w:shd w:val="clear" w:color="auto" w:fill="FFFFFF"/>
        </w:rPr>
        <w:t>强化政策扶持。</w:t>
      </w:r>
      <w:r>
        <w:rPr>
          <w:rFonts w:hint="eastAsia" w:ascii="仿宋_GB2312" w:hAnsi="仿宋_GB2312" w:eastAsia="仿宋_GB2312" w:cs="仿宋_GB2312"/>
          <w:sz w:val="32"/>
          <w:szCs w:val="32"/>
          <w:shd w:val="clear" w:color="auto" w:fill="FFFFFF"/>
        </w:rPr>
        <w:t>坚持问题导向，突出精准施策，利用现有产业政策、专项扶持资金等，着力支持精细化工和生物医药产业链重点企业、项目、载体平台等。在规划审批、土地供应、基础设施配套、财政金融、行业监管等方面加强指导和政策支持力度，持续完善优化政策实施方式。</w:t>
      </w:r>
    </w:p>
    <w:p w14:paraId="01936482">
      <w:pPr>
        <w:pStyle w:val="16"/>
        <w:widowControl/>
        <w:shd w:val="clear" w:color="auto" w:fill="FFFFFF"/>
        <w:spacing w:beforeAutospacing="0" w:afterAutospacing="0" w:line="580" w:lineRule="exact"/>
        <w:ind w:firstLine="643" w:firstLineChars="200"/>
        <w:rPr>
          <w:rFonts w:ascii="仿宋_GB2312" w:hAnsi="仿宋_GB2312" w:eastAsia="仿宋_GB2312" w:cs="仿宋_GB2312"/>
          <w:sz w:val="32"/>
          <w:szCs w:val="32"/>
          <w:shd w:val="clear" w:color="auto" w:fill="FFFFFF"/>
        </w:rPr>
      </w:pPr>
      <w:r>
        <w:rPr>
          <w:rFonts w:ascii="楷体" w:hAnsi="楷体" w:eastAsia="楷体" w:cs="仿宋_GB2312"/>
          <w:b/>
          <w:bCs/>
          <w:sz w:val="32"/>
          <w:szCs w:val="32"/>
          <w:shd w:val="clear" w:color="auto" w:fill="FFFFFF"/>
        </w:rPr>
        <w:t>(三)强化人才支撑</w:t>
      </w:r>
      <w:r>
        <w:rPr>
          <w:rFonts w:hint="eastAsia" w:ascii="楷体" w:hAnsi="楷体" w:eastAsia="楷体" w:cs="仿宋_GB2312"/>
          <w:b/>
          <w:bCs/>
          <w:sz w:val="32"/>
          <w:szCs w:val="32"/>
          <w:shd w:val="clear" w:color="auto" w:fill="FFFFFF"/>
        </w:rPr>
        <w:t>。</w:t>
      </w:r>
      <w:r>
        <w:rPr>
          <w:rFonts w:hint="eastAsia" w:ascii="仿宋_GB2312" w:hAnsi="仿宋_GB2312" w:eastAsia="仿宋_GB2312" w:cs="仿宋_GB2312"/>
          <w:sz w:val="32"/>
          <w:szCs w:val="32"/>
          <w:shd w:val="clear" w:color="auto" w:fill="FFFFFF"/>
        </w:rPr>
        <w:t>用足用活用好省、市人才政策，培育和引进精细化工和生物医药产业高端人才，强化专业人才队伍建设。分层次培养产业现代化领军人才、中高级经营管理人才和专业技术人才。鼓励产业园区、龙头企业与高校共建人才实训基地，开展产业从业人员在职培训，打造高技能产业技术人才队伍。</w:t>
      </w:r>
    </w:p>
    <w:p w14:paraId="3D7A5EED">
      <w:pPr>
        <w:pStyle w:val="16"/>
        <w:widowControl/>
        <w:shd w:val="clear" w:color="auto" w:fill="FFFFFF"/>
        <w:spacing w:beforeAutospacing="0" w:afterAutospacing="0" w:line="580" w:lineRule="exact"/>
        <w:ind w:firstLine="643" w:firstLineChars="200"/>
        <w:rPr>
          <w:rFonts w:hint="eastAsia" w:ascii="仿宋_GB2312" w:hAnsi="仿宋_GB2312" w:eastAsia="仿宋_GB2312" w:cs="仿宋_GB2312"/>
          <w:sz w:val="32"/>
          <w:szCs w:val="32"/>
          <w:shd w:val="clear" w:color="auto" w:fill="FFFFFF"/>
        </w:rPr>
      </w:pPr>
      <w:r>
        <w:rPr>
          <w:rFonts w:hint="eastAsia" w:ascii="楷体" w:hAnsi="楷体" w:eastAsia="楷体" w:cs="仿宋_GB2312"/>
          <w:b/>
          <w:bCs/>
          <w:sz w:val="32"/>
          <w:szCs w:val="32"/>
          <w:shd w:val="clear" w:color="auto" w:fill="FFFFFF"/>
        </w:rPr>
        <w:t>（四）强化安全底线。</w:t>
      </w:r>
      <w:r>
        <w:rPr>
          <w:rFonts w:hint="eastAsia" w:ascii="仿宋_GB2312" w:hAnsi="仿宋_GB2312" w:eastAsia="仿宋_GB2312" w:cs="仿宋_GB2312"/>
          <w:sz w:val="32"/>
          <w:szCs w:val="32"/>
          <w:shd w:val="clear" w:color="auto" w:fill="FFFFFF"/>
        </w:rPr>
        <w:t>牢固树立安全发展理念，统筹安全与发展，狠抓源头预防管控，推动落实企业安全生产主体责任，督促企业不断加大安全投入和技术改造力度，大力提升企业本质安全水平。</w:t>
      </w:r>
    </w:p>
    <w:p w14:paraId="2CE987A2">
      <w:pPr>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br w:type="page"/>
      </w:r>
    </w:p>
    <w:p w14:paraId="7EC833FA">
      <w:pPr>
        <w:pStyle w:val="16"/>
        <w:widowControl/>
        <w:shd w:val="clear" w:color="auto" w:fill="FFFFFF"/>
        <w:spacing w:beforeAutospacing="0" w:afterAutospacing="0" w:line="580" w:lineRule="exact"/>
        <w:rPr>
          <w:rFonts w:hint="default" w:ascii="仿宋_GB2312" w:hAnsi="仿宋_GB2312" w:eastAsia="仿宋_GB2312" w:cs="仿宋_GB2312"/>
          <w:b/>
          <w:bCs/>
          <w:sz w:val="32"/>
          <w:szCs w:val="32"/>
          <w:shd w:val="clear" w:color="auto" w:fill="FFFFFF"/>
          <w:lang w:val="en-US" w:eastAsia="zh-CN"/>
        </w:rPr>
      </w:pPr>
      <w:r>
        <w:rPr>
          <w:rFonts w:hint="eastAsia" w:ascii="仿宋_GB2312" w:hAnsi="仿宋_GB2312" w:eastAsia="仿宋_GB2312" w:cs="仿宋_GB2312"/>
          <w:b/>
          <w:bCs/>
          <w:sz w:val="32"/>
          <w:szCs w:val="32"/>
          <w:shd w:val="clear" w:color="auto" w:fill="FFFFFF"/>
          <w:lang w:val="en-US" w:eastAsia="zh-CN"/>
        </w:rPr>
        <w:t>附件3</w:t>
      </w:r>
    </w:p>
    <w:p w14:paraId="7A832F17">
      <w:pPr>
        <w:rPr>
          <w:rFonts w:hint="eastAsia" w:ascii="仿宋_GB2312" w:hAnsi="仿宋_GB2312" w:eastAsia="仿宋_GB2312" w:cs="仿宋_GB2312"/>
          <w:sz w:val="32"/>
          <w:szCs w:val="32"/>
          <w:lang w:val="en-US" w:eastAsia="zh-CN"/>
        </w:rPr>
      </w:pPr>
    </w:p>
    <w:p w14:paraId="1053CC66">
      <w:pPr>
        <w:widowControl/>
        <w:shd w:val="clear" w:color="auto" w:fill="FFFFFF"/>
        <w:spacing w:beforeAutospacing="0" w:after="150" w:afterAutospacing="0" w:line="580" w:lineRule="exact"/>
        <w:jc w:val="center"/>
        <w:rPr>
          <w:rFonts w:hint="eastAsia" w:ascii="方正小标宋简体" w:hAnsi="方正小标宋简体" w:eastAsia="方正小标宋简体" w:cs="方正小标宋简体"/>
          <w:b w:val="0"/>
          <w:bCs/>
          <w:kern w:val="2"/>
          <w:sz w:val="44"/>
          <w:szCs w:val="44"/>
          <w:shd w:val="clear" w:color="auto" w:fill="FFFFFF"/>
          <w:lang w:val="en-US" w:eastAsia="zh-CN" w:bidi="ar-SA"/>
          <w14:ligatures w14:val="standardContextual"/>
        </w:rPr>
      </w:pPr>
      <w:r>
        <w:rPr>
          <w:rFonts w:hint="eastAsia" w:ascii="方正小标宋简体" w:hAnsi="方正小标宋简体" w:eastAsia="方正小标宋简体" w:cs="方正小标宋简体"/>
          <w:b w:val="0"/>
          <w:bCs/>
          <w:kern w:val="2"/>
          <w:sz w:val="44"/>
          <w:szCs w:val="44"/>
          <w:shd w:val="clear" w:color="auto" w:fill="FFFFFF"/>
          <w:lang w:val="en-US" w:eastAsia="zh-CN" w:bidi="ar-SA"/>
          <w14:ligatures w14:val="standardContextual"/>
        </w:rPr>
        <w:t>昌江区电子信息产业链现代化建设</w:t>
      </w:r>
    </w:p>
    <w:p w14:paraId="2BF0B563">
      <w:pPr>
        <w:widowControl/>
        <w:shd w:val="clear" w:color="auto" w:fill="FFFFFF"/>
        <w:spacing w:beforeAutospacing="0" w:after="150" w:afterAutospacing="0" w:line="580" w:lineRule="exact"/>
        <w:jc w:val="center"/>
        <w:rPr>
          <w:rFonts w:hint="eastAsia" w:ascii="方正小标宋简体" w:hAnsi="方正小标宋简体" w:eastAsia="方正小标宋简体" w:cs="方正小标宋简体"/>
          <w:b w:val="0"/>
          <w:bCs/>
          <w:kern w:val="0"/>
          <w:sz w:val="44"/>
          <w:szCs w:val="44"/>
          <w:shd w:val="clear" w:color="auto" w:fill="FFFFFF"/>
          <w:lang w:val="en-US" w:eastAsia="zh-CN" w:bidi="ar-SA"/>
          <w14:ligatures w14:val="none"/>
        </w:rPr>
      </w:pPr>
      <w:r>
        <w:rPr>
          <w:rFonts w:hint="eastAsia" w:ascii="方正小标宋简体" w:hAnsi="方正小标宋简体" w:eastAsia="方正小标宋简体" w:cs="方正小标宋简体"/>
          <w:b w:val="0"/>
          <w:bCs/>
          <w:kern w:val="2"/>
          <w:sz w:val="44"/>
          <w:szCs w:val="44"/>
          <w:shd w:val="clear" w:color="auto" w:fill="FFFFFF"/>
          <w:lang w:val="en-US" w:eastAsia="zh-CN" w:bidi="ar-SA"/>
          <w14:ligatures w14:val="standardContextual"/>
        </w:rPr>
        <w:t>行动方案（2024-2026年）</w:t>
      </w:r>
    </w:p>
    <w:p w14:paraId="4A69EA9A">
      <w:pPr>
        <w:widowControl/>
        <w:shd w:val="clear" w:color="auto" w:fill="FFFFFF"/>
        <w:spacing w:beforeAutospacing="0" w:after="150" w:afterAutospacing="0" w:line="580" w:lineRule="exact"/>
        <w:jc w:val="center"/>
        <w:rPr>
          <w:rFonts w:ascii="宋体" w:hAnsi="宋体" w:eastAsia="宋体" w:cs="方正小标宋简体"/>
          <w:kern w:val="0"/>
          <w:sz w:val="44"/>
          <w:szCs w:val="44"/>
          <w:shd w:val="clear" w:color="auto" w:fill="FFFFFF"/>
          <w:lang w:val="en-US" w:eastAsia="zh-CN" w:bidi="ar-SA"/>
          <w14:ligatures w14:val="none"/>
        </w:rPr>
      </w:pPr>
    </w:p>
    <w:p w14:paraId="1B4B4AC4">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仿宋_GB2312" w:hAnsi="仿宋_GB2312" w:eastAsia="仿宋_GB2312" w:cs="仿宋_GB2312"/>
          <w:kern w:val="0"/>
          <w:sz w:val="32"/>
          <w:szCs w:val="32"/>
          <w:shd w:val="clear" w:color="auto" w:fill="FFFFFF"/>
          <w14:ligatures w14:val="none"/>
        </w:rPr>
      </w:pPr>
      <w:r>
        <w:rPr>
          <w:rFonts w:hint="eastAsia" w:ascii="仿宋_GB2312" w:hAnsi="仿宋_GB2312" w:eastAsia="仿宋_GB2312" w:cs="仿宋_GB2312"/>
          <w:kern w:val="0"/>
          <w:sz w:val="32"/>
          <w:szCs w:val="32"/>
          <w:shd w:val="clear" w:color="auto" w:fill="FFFFFF"/>
          <w14:ligatures w14:val="none"/>
        </w:rPr>
        <w:t>为进一步提升全区电子信息产业链韧性、竞争力和安全水平，着力推动产业基础高级化、产业链现代化，推动全区电子信息产业链高质量发展，特制</w:t>
      </w:r>
      <w:r>
        <w:rPr>
          <w:rFonts w:hint="eastAsia" w:ascii="仿宋_GB2312" w:hAnsi="仿宋_GB2312" w:eastAsia="仿宋_GB2312" w:cs="仿宋_GB2312"/>
          <w:kern w:val="0"/>
          <w:sz w:val="32"/>
          <w:szCs w:val="32"/>
          <w:shd w:val="clear" w:color="auto" w:fill="FFFFFF"/>
          <w:lang w:val="en-US" w:eastAsia="zh-CN"/>
          <w14:ligatures w14:val="none"/>
        </w:rPr>
        <w:t>+</w:t>
      </w:r>
      <w:r>
        <w:rPr>
          <w:rFonts w:hint="eastAsia" w:ascii="仿宋_GB2312" w:hAnsi="仿宋_GB2312" w:eastAsia="仿宋_GB2312" w:cs="仿宋_GB2312"/>
          <w:kern w:val="0"/>
          <w:sz w:val="32"/>
          <w:szCs w:val="32"/>
          <w:shd w:val="clear" w:color="auto" w:fill="FFFFFF"/>
          <w14:ligatures w14:val="none"/>
        </w:rPr>
        <w:t>定本行动方案。</w:t>
      </w:r>
    </w:p>
    <w:p w14:paraId="15B3CE0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黑体" w:hAnsi="黑体" w:eastAsia="黑体" w:cs="黑体"/>
          <w:b w:val="0"/>
          <w:bCs/>
          <w:kern w:val="0"/>
          <w:sz w:val="32"/>
          <w:szCs w:val="32"/>
          <w:lang w:val="en-US" w:eastAsia="zh-CN" w:bidi="ar-SA"/>
          <w14:ligatures w14:val="none"/>
        </w:rPr>
      </w:pPr>
      <w:r>
        <w:rPr>
          <w:rFonts w:hint="eastAsia" w:ascii="黑体" w:hAnsi="黑体" w:eastAsia="黑体" w:cs="黑体"/>
          <w:b w:val="0"/>
          <w:bCs/>
          <w:kern w:val="2"/>
          <w:sz w:val="32"/>
          <w:szCs w:val="32"/>
          <w:shd w:val="clear" w:color="auto" w:fill="FFFFFF"/>
          <w:lang w:val="en-US" w:eastAsia="zh-CN" w:bidi="ar-SA"/>
          <w14:ligatures w14:val="standardContextual"/>
        </w:rPr>
        <w:t>一、总体要求</w:t>
      </w:r>
    </w:p>
    <w:p w14:paraId="3493D738">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kern w:val="0"/>
          <w:sz w:val="32"/>
          <w:szCs w:val="32"/>
          <w:shd w:val="clear" w:color="auto" w:fill="FFFFFF"/>
          <w14:ligatures w14:val="none"/>
        </w:rPr>
      </w:pPr>
      <w:r>
        <w:rPr>
          <w:rFonts w:hint="eastAsia" w:ascii="仿宋_GB2312" w:hAnsi="仿宋_GB2312" w:eastAsia="仿宋_GB2312" w:cs="仿宋_GB2312"/>
          <w:kern w:val="0"/>
          <w:sz w:val="32"/>
          <w:szCs w:val="32"/>
          <w:shd w:val="clear" w:color="auto" w:fill="FFFFFF"/>
          <w14:ligatures w14:val="none"/>
        </w:rPr>
        <w:t>以习近平新时代中国特色社会主义思想为指导，深入贯彻党的二十大精神和习近平总书记</w:t>
      </w:r>
      <w:r>
        <w:rPr>
          <w:rFonts w:hint="eastAsia" w:ascii="仿宋_GB2312" w:hAnsi="仿宋_GB2312" w:eastAsia="仿宋_GB2312" w:cs="仿宋_GB2312"/>
          <w:kern w:val="0"/>
          <w:sz w:val="32"/>
          <w:szCs w:val="32"/>
          <w:shd w:val="clear" w:color="auto" w:fill="FFFFFF"/>
          <w:lang w:val="en-US" w:eastAsia="zh-CN"/>
          <w14:ligatures w14:val="none"/>
        </w:rPr>
        <w:t>考</w:t>
      </w:r>
      <w:r>
        <w:rPr>
          <w:rFonts w:hint="eastAsia" w:ascii="仿宋_GB2312" w:hAnsi="仿宋_GB2312" w:eastAsia="仿宋_GB2312" w:cs="仿宋_GB2312"/>
          <w:kern w:val="0"/>
          <w:sz w:val="32"/>
          <w:szCs w:val="32"/>
          <w:shd w:val="clear" w:color="auto" w:fill="FFFFFF"/>
          <w14:ligatures w14:val="none"/>
        </w:rPr>
        <w:t>察江西重要讲话精神，聚焦“</w:t>
      </w:r>
      <w:r>
        <w:rPr>
          <w:rFonts w:hint="eastAsia" w:ascii="仿宋_GB2312" w:hAnsi="仿宋_GB2312" w:eastAsia="仿宋_GB2312" w:cs="仿宋_GB2312"/>
          <w:kern w:val="0"/>
          <w:sz w:val="32"/>
          <w:szCs w:val="32"/>
          <w:shd w:val="clear" w:color="auto" w:fill="FFFFFF"/>
          <w:lang w:val="en-US" w:eastAsia="zh-CN"/>
          <w14:ligatures w14:val="none"/>
        </w:rPr>
        <w:t>走在前</w:t>
      </w:r>
      <w:r>
        <w:rPr>
          <w:rFonts w:hint="eastAsia" w:ascii="仿宋_GB2312" w:hAnsi="仿宋_GB2312" w:eastAsia="仿宋_GB2312" w:cs="仿宋_GB2312"/>
          <w:kern w:val="0"/>
          <w:sz w:val="32"/>
          <w:szCs w:val="32"/>
          <w:shd w:val="clear" w:color="auto" w:fill="FFFFFF"/>
          <w14:ligatures w14:val="none"/>
        </w:rPr>
        <w:t>、勇争先、善作为”目标要求，完整、准确、全面贯彻新发展理念，以提升产业基础高级化、产业链现代化水平为重点，</w:t>
      </w:r>
      <w:bookmarkStart w:id="7" w:name="_Hlk166839738"/>
      <w:r>
        <w:rPr>
          <w:rFonts w:hint="eastAsia" w:ascii="仿宋_GB2312" w:hAnsi="仿宋_GB2312" w:eastAsia="仿宋_GB2312" w:cs="仿宋_GB2312"/>
          <w:kern w:val="0"/>
          <w:sz w:val="32"/>
          <w:szCs w:val="32"/>
          <w:shd w:val="clear" w:color="auto" w:fill="FFFFFF"/>
          <w14:ligatures w14:val="none"/>
        </w:rPr>
        <w:t>围绕电子元器件、终端产品与基础材料等领域招大引强，以重大项目、龙头企业为依托，加快延伸产业链上下游，培育终端消费电子新赛道，推动全区电子信息产业快速成规模、上台阶，实现电子信息产业向中高端迈进。</w:t>
      </w:r>
    </w:p>
    <w:p w14:paraId="00497A75">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kern w:val="0"/>
          <w:sz w:val="32"/>
          <w:szCs w:val="32"/>
          <w:shd w:val="clear" w:color="auto" w:fill="FFFFFF"/>
          <w14:ligatures w14:val="none"/>
        </w:rPr>
      </w:pPr>
      <w:r>
        <w:rPr>
          <w:rFonts w:hint="eastAsia" w:ascii="仿宋_GB2312" w:hAnsi="仿宋_GB2312" w:eastAsia="仿宋_GB2312" w:cs="仿宋_GB2312"/>
          <w:kern w:val="0"/>
          <w:sz w:val="32"/>
          <w:szCs w:val="32"/>
          <w:shd w:val="clear" w:color="auto" w:fill="FFFFFF"/>
          <w14:ligatures w14:val="none"/>
        </w:rPr>
        <w:t>到2026年，全区电子信息产业链规模以上企业力争达到20家，营业收入突破50亿元。</w:t>
      </w:r>
    </w:p>
    <w:bookmarkEnd w:id="7"/>
    <w:p w14:paraId="2A3CB7B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黑体" w:hAnsi="黑体" w:eastAsia="黑体" w:cs="黑体"/>
          <w:b w:val="0"/>
          <w:bCs/>
          <w:kern w:val="0"/>
          <w:sz w:val="32"/>
          <w:szCs w:val="32"/>
          <w:shd w:val="clear" w:color="auto" w:fill="FFFFFF"/>
          <w:lang w:val="en-US" w:eastAsia="zh-CN" w:bidi="ar-SA"/>
          <w14:ligatures w14:val="none"/>
        </w:rPr>
      </w:pPr>
      <w:r>
        <w:rPr>
          <w:rFonts w:hint="eastAsia" w:ascii="黑体" w:hAnsi="黑体" w:eastAsia="黑体" w:cs="黑体"/>
          <w:b w:val="0"/>
          <w:bCs/>
          <w:kern w:val="2"/>
          <w:sz w:val="32"/>
          <w:szCs w:val="32"/>
          <w:shd w:val="clear" w:color="auto" w:fill="FFFFFF"/>
          <w:lang w:val="en-US" w:eastAsia="zh-CN" w:bidi="ar-SA"/>
          <w14:ligatures w14:val="standardContextual"/>
        </w:rPr>
        <w:t>二、主要举措</w:t>
      </w:r>
    </w:p>
    <w:p w14:paraId="4F31937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ascii="仿宋_GB2312" w:hAnsi="仿宋_GB2312" w:eastAsia="仿宋_GB2312" w:cs="仿宋_GB2312"/>
          <w:kern w:val="0"/>
          <w:sz w:val="32"/>
          <w:szCs w:val="32"/>
          <w:shd w:val="clear" w:color="auto" w:fill="FFFFFF"/>
          <w:lang w:val="en-US" w:eastAsia="zh-CN" w:bidi="ar-SA"/>
          <w14:ligatures w14:val="none"/>
        </w:rPr>
      </w:pPr>
      <w:r>
        <w:rPr>
          <w:rFonts w:hint="eastAsia" w:ascii="楷体" w:hAnsi="楷体" w:eastAsia="楷体" w:cs="楷体"/>
          <w:b/>
          <w:kern w:val="2"/>
          <w:sz w:val="32"/>
          <w:szCs w:val="32"/>
          <w:lang w:val="en-US" w:eastAsia="zh-CN" w:bidi="ar-SA"/>
          <w14:ligatures w14:val="standardContextual"/>
        </w:rPr>
        <w:t>（一）实施产业链精准招商。</w:t>
      </w:r>
      <w:r>
        <w:rPr>
          <w:rFonts w:hint="eastAsia" w:ascii="仿宋_GB2312" w:hAnsi="仿宋_GB2312" w:eastAsia="仿宋_GB2312" w:cs="仿宋_GB2312"/>
          <w:kern w:val="0"/>
          <w:sz w:val="32"/>
          <w:szCs w:val="32"/>
          <w:shd w:val="clear" w:color="auto" w:fill="FFFFFF"/>
          <w:lang w:val="en-US" w:eastAsia="zh-CN" w:bidi="ar-SA"/>
          <w14:ligatures w14:val="none"/>
        </w:rPr>
        <w:t>紧抓沿海地区电子信息产业转移窗口，</w:t>
      </w:r>
      <w:r>
        <w:rPr>
          <w:rFonts w:ascii="仿宋_GB2312" w:hAnsi="仿宋_GB2312" w:eastAsia="仿宋_GB2312" w:cs="仿宋_GB2312"/>
          <w:kern w:val="0"/>
          <w:sz w:val="32"/>
          <w:szCs w:val="32"/>
          <w:shd w:val="clear" w:color="auto" w:fill="FFFFFF"/>
          <w:lang w:val="en-US" w:eastAsia="zh-CN" w:bidi="ar-SA"/>
          <w14:ligatures w14:val="none"/>
        </w:rPr>
        <w:t>结合景德镇市电子信息产业赛道招优引强指南，引导产业招商小分队实行图谱作业，聚焦头部企业、旗舰企业或小巨人企业进行对接招引，重点解决</w:t>
      </w:r>
      <w:r>
        <w:rPr>
          <w:rFonts w:hint="eastAsia" w:ascii="仿宋_GB2312" w:hAnsi="仿宋_GB2312" w:eastAsia="仿宋_GB2312" w:cs="仿宋_GB2312"/>
          <w:kern w:val="0"/>
          <w:sz w:val="32"/>
          <w:szCs w:val="32"/>
          <w:shd w:val="clear" w:color="auto" w:fill="FFFFFF"/>
          <w:lang w:val="en-US" w:eastAsia="zh-CN" w:bidi="ar-SA"/>
          <w14:ligatures w14:val="none"/>
        </w:rPr>
        <w:t>全区</w:t>
      </w:r>
      <w:r>
        <w:rPr>
          <w:rFonts w:ascii="仿宋_GB2312" w:hAnsi="仿宋_GB2312" w:eastAsia="仿宋_GB2312" w:cs="仿宋_GB2312"/>
          <w:kern w:val="0"/>
          <w:sz w:val="32"/>
          <w:szCs w:val="32"/>
          <w:shd w:val="clear" w:color="auto" w:fill="FFFFFF"/>
          <w:lang w:val="en-US" w:eastAsia="zh-CN" w:bidi="ar-SA"/>
          <w14:ligatures w14:val="none"/>
        </w:rPr>
        <w:t>电子信息产业“有产业缺龙头、有企业缺生态”的现实困境。</w:t>
      </w:r>
      <w:r>
        <w:rPr>
          <w:rFonts w:hint="eastAsia" w:ascii="仿宋_GB2312" w:hAnsi="仿宋_GB2312" w:eastAsia="仿宋_GB2312" w:cs="仿宋_GB2312"/>
          <w:kern w:val="0"/>
          <w:sz w:val="32"/>
          <w:szCs w:val="32"/>
          <w:shd w:val="clear" w:color="auto" w:fill="FFFFFF"/>
          <w:lang w:val="en-US" w:eastAsia="zh-CN" w:bidi="ar-SA"/>
          <w14:ligatures w14:val="none"/>
        </w:rPr>
        <w:t>聚焦电路板、电子专用材料（覆铜板）、真空开关、电容器和</w:t>
      </w:r>
      <w:r>
        <w:rPr>
          <w:rFonts w:ascii="仿宋_GB2312" w:hAnsi="仿宋_GB2312" w:eastAsia="仿宋_GB2312" w:cs="仿宋_GB2312"/>
          <w:kern w:val="0"/>
          <w:sz w:val="32"/>
          <w:szCs w:val="32"/>
          <w:shd w:val="clear" w:color="auto" w:fill="FFFFFF"/>
          <w:lang w:val="en-US" w:eastAsia="zh-CN" w:bidi="ar-SA"/>
          <w14:ligatures w14:val="none"/>
        </w:rPr>
        <w:t>LED照明细分</w:t>
      </w:r>
      <w:r>
        <w:rPr>
          <w:rFonts w:hint="eastAsia" w:ascii="仿宋_GB2312" w:hAnsi="仿宋_GB2312" w:eastAsia="仿宋_GB2312" w:cs="仿宋_GB2312"/>
          <w:kern w:val="0"/>
          <w:sz w:val="32"/>
          <w:szCs w:val="32"/>
          <w:shd w:val="clear" w:color="auto" w:fill="FFFFFF"/>
          <w:lang w:val="en-US" w:eastAsia="zh-CN" w:bidi="ar-SA"/>
          <w14:ligatures w14:val="none"/>
        </w:rPr>
        <w:t>等</w:t>
      </w:r>
      <w:r>
        <w:rPr>
          <w:rFonts w:ascii="仿宋_GB2312" w:hAnsi="仿宋_GB2312" w:eastAsia="仿宋_GB2312" w:cs="仿宋_GB2312"/>
          <w:kern w:val="0"/>
          <w:sz w:val="32"/>
          <w:szCs w:val="32"/>
          <w:shd w:val="clear" w:color="auto" w:fill="FFFFFF"/>
          <w:lang w:val="en-US" w:eastAsia="zh-CN" w:bidi="ar-SA"/>
          <w14:ligatures w14:val="none"/>
        </w:rPr>
        <w:t>领域</w:t>
      </w:r>
      <w:r>
        <w:rPr>
          <w:rFonts w:hint="eastAsia" w:ascii="仿宋_GB2312" w:hAnsi="仿宋_GB2312" w:eastAsia="仿宋_GB2312" w:cs="仿宋_GB2312"/>
          <w:kern w:val="0"/>
          <w:sz w:val="32"/>
          <w:szCs w:val="32"/>
          <w:shd w:val="clear" w:color="auto" w:fill="FFFFFF"/>
          <w:lang w:val="en-US" w:eastAsia="zh-CN" w:bidi="ar-SA"/>
          <w14:ligatures w14:val="none"/>
        </w:rPr>
        <w:t>，加大项目招引，破解我区电子信息产业配套能力相对薄弱的现状，完善产业链发展。坚持“项目为王”的理念，按照“策划一批、引进一批、建设一批、投产一批”的思路，强化重点项目引进、投产、运营的调度和服务，推动项目加快落户、建设、投产。</w:t>
      </w:r>
      <w:r>
        <w:rPr>
          <w:rFonts w:ascii="仿宋_GB2312" w:hAnsi="仿宋_GB2312" w:eastAsia="仿宋_GB2312" w:cs="仿宋_GB2312"/>
          <w:kern w:val="0"/>
          <w:sz w:val="32"/>
          <w:szCs w:val="32"/>
          <w:shd w:val="clear" w:color="auto" w:fill="FFFFFF"/>
          <w:lang w:val="en-US" w:eastAsia="zh-CN" w:bidi="ar-SA"/>
          <w14:ligatures w14:val="none"/>
        </w:rPr>
        <w:t>积极参与省粤港澳大湾区电子信息产业投资合作对接会、省电子信息产业供应链大会、世</w:t>
      </w:r>
      <w:r>
        <w:rPr>
          <w:rFonts w:hint="eastAsia" w:ascii="仿宋_GB2312" w:hAnsi="仿宋_GB2312" w:eastAsia="仿宋_GB2312" w:cs="仿宋_GB2312"/>
          <w:kern w:val="0"/>
          <w:sz w:val="32"/>
          <w:szCs w:val="32"/>
          <w:shd w:val="clear" w:color="auto" w:fill="FFFFFF"/>
          <w:lang w:val="en-US" w:eastAsia="zh-CN" w:bidi="ar-SA"/>
          <w14:ligatures w14:val="none"/>
        </w:rPr>
        <w:t xml:space="preserve"> </w:t>
      </w:r>
      <w:r>
        <w:rPr>
          <w:rFonts w:ascii="仿宋_GB2312" w:hAnsi="仿宋_GB2312" w:eastAsia="仿宋_GB2312" w:cs="仿宋_GB2312"/>
          <w:kern w:val="0"/>
          <w:sz w:val="32"/>
          <w:szCs w:val="32"/>
          <w:shd w:val="clear" w:color="auto" w:fill="FFFFFF"/>
          <w:lang w:val="en-US" w:eastAsia="zh-CN" w:bidi="ar-SA"/>
          <w14:ligatures w14:val="none"/>
        </w:rPr>
        <w:t>界VR产业大会等活动，推动区域、企业、项目加强合作，推动以商招商、产业链招商、组团式招商、资本招商，大力承接产业转移</w:t>
      </w:r>
      <w:r>
        <w:rPr>
          <w:rFonts w:hint="eastAsia" w:ascii="仿宋_GB2312" w:hAnsi="仿宋_GB2312" w:eastAsia="仿宋_GB2312" w:cs="仿宋_GB2312"/>
          <w:kern w:val="0"/>
          <w:sz w:val="32"/>
          <w:szCs w:val="32"/>
          <w:shd w:val="clear" w:color="auto" w:fill="FFFFFF"/>
          <w:lang w:val="en-US" w:eastAsia="zh-CN" w:bidi="ar-SA"/>
          <w14:ligatures w14:val="none"/>
        </w:rPr>
        <w:t>。</w:t>
      </w:r>
    </w:p>
    <w:p w14:paraId="3845B3B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ascii="仿宋_GB2312" w:hAnsi="仿宋_GB2312" w:eastAsia="仿宋_GB2312" w:cs="仿宋_GB2312"/>
          <w:kern w:val="0"/>
          <w:sz w:val="32"/>
          <w:szCs w:val="32"/>
          <w:shd w:val="clear" w:color="auto" w:fill="FFFFFF"/>
          <w:lang w:val="en-US" w:eastAsia="zh-CN" w:bidi="ar-SA"/>
          <w14:ligatures w14:val="none"/>
        </w:rPr>
      </w:pPr>
      <w:r>
        <w:rPr>
          <w:rFonts w:hint="eastAsia" w:ascii="楷体" w:hAnsi="楷体" w:eastAsia="楷体" w:cs="楷体"/>
          <w:b/>
          <w:kern w:val="2"/>
          <w:sz w:val="32"/>
          <w:szCs w:val="32"/>
          <w:lang w:val="en-US" w:eastAsia="zh-CN" w:bidi="ar-SA"/>
          <w14:ligatures w14:val="standardContextual"/>
        </w:rPr>
        <w:t>（二）提升产业链创新能力。</w:t>
      </w:r>
      <w:r>
        <w:rPr>
          <w:rFonts w:hint="eastAsia" w:ascii="仿宋_GB2312" w:hAnsi="仿宋_GB2312" w:eastAsia="仿宋_GB2312" w:cs="仿宋_GB2312"/>
          <w:kern w:val="0"/>
          <w:sz w:val="32"/>
          <w:szCs w:val="32"/>
          <w:shd w:val="clear" w:color="auto" w:fill="FFFFFF"/>
          <w:lang w:val="en-US" w:eastAsia="zh-CN" w:bidi="ar-SA"/>
          <w14:ligatures w14:val="none"/>
        </w:rPr>
        <w:t>加快建设</w:t>
      </w:r>
      <w:r>
        <w:rPr>
          <w:rFonts w:ascii="仿宋_GB2312" w:hAnsi="仿宋_GB2312" w:eastAsia="仿宋_GB2312" w:cs="仿宋_GB2312"/>
          <w:kern w:val="0"/>
          <w:sz w:val="32"/>
          <w:szCs w:val="32"/>
          <w:shd w:val="clear" w:color="auto" w:fill="FFFFFF"/>
          <w:lang w:val="en-US" w:eastAsia="zh-CN" w:bidi="ar-SA"/>
          <w14:ligatures w14:val="none"/>
        </w:rPr>
        <w:t>一批国家、省级、市级企业工程技术中心、工程研发中心、工程实验室</w:t>
      </w:r>
      <w:r>
        <w:rPr>
          <w:rFonts w:hint="eastAsia" w:ascii="仿宋_GB2312" w:hAnsi="仿宋_GB2312" w:eastAsia="仿宋_GB2312" w:cs="仿宋_GB2312"/>
          <w:kern w:val="0"/>
          <w:sz w:val="32"/>
          <w:szCs w:val="32"/>
          <w:shd w:val="clear" w:color="auto" w:fill="FFFFFF"/>
          <w:lang w:val="en-US" w:eastAsia="zh-CN" w:bidi="ar-SA"/>
          <w14:ligatures w14:val="none"/>
        </w:rPr>
        <w:t>。</w:t>
      </w:r>
      <w:r>
        <w:rPr>
          <w:rFonts w:ascii="仿宋_GB2312" w:hAnsi="仿宋_GB2312" w:eastAsia="仿宋_GB2312" w:cs="仿宋_GB2312"/>
          <w:kern w:val="0"/>
          <w:sz w:val="32"/>
          <w:szCs w:val="32"/>
          <w:shd w:val="clear" w:color="auto" w:fill="FFFFFF"/>
          <w:lang w:val="en-US" w:eastAsia="zh-CN" w:bidi="ar-SA"/>
          <w14:ligatures w14:val="none"/>
        </w:rPr>
        <w:t>鼓励有条件的电子信息企业加大研发投入，促进企业与高校、科研机构有机对接，加快产研深度融合，深化企业技术中心建设，推动规上企业研发机构全覆盖</w:t>
      </w:r>
      <w:r>
        <w:rPr>
          <w:rFonts w:hint="eastAsia" w:ascii="仿宋_GB2312" w:hAnsi="仿宋_GB2312" w:eastAsia="仿宋_GB2312" w:cs="仿宋_GB2312"/>
          <w:kern w:val="0"/>
          <w:sz w:val="32"/>
          <w:szCs w:val="32"/>
          <w:shd w:val="clear" w:color="auto" w:fill="FFFFFF"/>
          <w:lang w:val="en-US" w:eastAsia="zh-CN" w:bidi="ar-SA"/>
          <w14:ligatures w14:val="none"/>
        </w:rPr>
        <w:t>。</w:t>
      </w:r>
      <w:r>
        <w:rPr>
          <w:rFonts w:ascii="仿宋_GB2312" w:hAnsi="仿宋_GB2312" w:eastAsia="仿宋_GB2312" w:cs="仿宋_GB2312"/>
          <w:kern w:val="0"/>
          <w:sz w:val="32"/>
          <w:szCs w:val="32"/>
          <w:shd w:val="clear" w:color="auto" w:fill="FFFFFF"/>
          <w:lang w:val="en-US" w:eastAsia="zh-CN" w:bidi="ar-SA"/>
          <w14:ligatures w14:val="none"/>
        </w:rPr>
        <w:t>推进电子信息产业重大创新平台建设</w:t>
      </w:r>
      <w:r>
        <w:rPr>
          <w:rFonts w:hint="eastAsia" w:ascii="仿宋_GB2312" w:hAnsi="仿宋_GB2312" w:eastAsia="仿宋_GB2312" w:cs="仿宋_GB2312"/>
          <w:kern w:val="0"/>
          <w:sz w:val="32"/>
          <w:szCs w:val="32"/>
          <w:shd w:val="clear" w:color="auto" w:fill="FFFFFF"/>
          <w:lang w:val="en-US" w:eastAsia="zh-CN" w:bidi="ar-SA"/>
          <w14:ligatures w14:val="none"/>
        </w:rPr>
        <w:t>，结合</w:t>
      </w:r>
      <w:r>
        <w:rPr>
          <w:rFonts w:ascii="仿宋_GB2312" w:hAnsi="仿宋_GB2312" w:eastAsia="仿宋_GB2312" w:cs="仿宋_GB2312"/>
          <w:kern w:val="0"/>
          <w:sz w:val="32"/>
          <w:szCs w:val="32"/>
          <w:shd w:val="clear" w:color="auto" w:fill="FFFFFF"/>
          <w:lang w:val="en-US" w:eastAsia="zh-CN" w:bidi="ar-SA"/>
          <w14:ligatures w14:val="none"/>
        </w:rPr>
        <w:t>产业发展需求，依托</w:t>
      </w:r>
      <w:r>
        <w:rPr>
          <w:rFonts w:hint="eastAsia" w:ascii="仿宋_GB2312" w:hAnsi="仿宋_GB2312" w:eastAsia="仿宋_GB2312" w:cs="仿宋_GB2312"/>
          <w:kern w:val="0"/>
          <w:sz w:val="32"/>
          <w:szCs w:val="32"/>
          <w:shd w:val="clear" w:color="auto" w:fill="FFFFFF"/>
          <w:lang w:val="en-US" w:eastAsia="zh-CN" w:bidi="ar-SA"/>
          <w14:ligatures w14:val="none"/>
        </w:rPr>
        <w:t>电子信息</w:t>
      </w:r>
      <w:r>
        <w:rPr>
          <w:rFonts w:ascii="仿宋_GB2312" w:hAnsi="仿宋_GB2312" w:eastAsia="仿宋_GB2312" w:cs="仿宋_GB2312"/>
          <w:kern w:val="0"/>
          <w:sz w:val="32"/>
          <w:szCs w:val="32"/>
          <w:shd w:val="clear" w:color="auto" w:fill="FFFFFF"/>
          <w:lang w:val="en-US" w:eastAsia="zh-CN" w:bidi="ar-SA"/>
          <w14:ligatures w14:val="none"/>
        </w:rPr>
        <w:t>产业链链主企业、高等院校、科研院所，重点开展产业关键核心技术、共性技术、前沿技术和跨行业融合性技术</w:t>
      </w:r>
      <w:r>
        <w:rPr>
          <w:rFonts w:hint="eastAsia" w:ascii="仿宋_GB2312" w:hAnsi="仿宋_GB2312" w:eastAsia="仿宋_GB2312" w:cs="仿宋_GB2312"/>
          <w:kern w:val="0"/>
          <w:sz w:val="32"/>
          <w:szCs w:val="32"/>
          <w:shd w:val="clear" w:color="auto" w:fill="FFFFFF"/>
          <w:lang w:val="en-US" w:eastAsia="zh-CN" w:bidi="ar-SA"/>
          <w14:ligatures w14:val="none"/>
        </w:rPr>
        <w:t>研究。支持以宏亿电子、乐彭电器等企业为龙头推进企业技改扩张、数字化转型升级，推动产品制造向智能化、高端化发展。推动电子信息产业组建技术创新联盟，</w:t>
      </w:r>
      <w:r>
        <w:rPr>
          <w:rFonts w:ascii="仿宋_GB2312" w:hAnsi="仿宋_GB2312" w:eastAsia="仿宋_GB2312" w:cs="仿宋_GB2312"/>
          <w:kern w:val="0"/>
          <w:sz w:val="32"/>
          <w:szCs w:val="32"/>
          <w:shd w:val="clear" w:color="auto" w:fill="FFFFFF"/>
          <w:lang w:val="en-US" w:eastAsia="zh-CN" w:bidi="ar-SA"/>
          <w14:ligatures w14:val="none"/>
        </w:rPr>
        <w:t>支持产业联盟企业间技术共享、协同并进，深入实施“重创工程”，提高科研成果转移转化效率，加快把技术优势转化为产业优势</w:t>
      </w:r>
      <w:r>
        <w:rPr>
          <w:rFonts w:hint="eastAsia" w:ascii="仿宋_GB2312" w:hAnsi="仿宋_GB2312" w:eastAsia="仿宋_GB2312" w:cs="仿宋_GB2312"/>
          <w:kern w:val="0"/>
          <w:sz w:val="32"/>
          <w:szCs w:val="32"/>
          <w:shd w:val="clear" w:color="auto" w:fill="FFFFFF"/>
          <w:lang w:val="en-US" w:eastAsia="zh-CN" w:bidi="ar-SA"/>
          <w14:ligatures w14:val="none"/>
        </w:rPr>
        <w:t>，实现电子信息产业量质齐升。</w:t>
      </w:r>
    </w:p>
    <w:p w14:paraId="7AB7FFA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ascii="仿宋" w:hAnsi="仿宋" w:eastAsia="仿宋" w:cs="仿宋_GB2312"/>
          <w:kern w:val="0"/>
          <w:sz w:val="32"/>
          <w:szCs w:val="32"/>
          <w:lang w:val="en-US" w:eastAsia="zh-CN" w:bidi="ar-SA"/>
          <w14:ligatures w14:val="none"/>
        </w:rPr>
      </w:pPr>
      <w:r>
        <w:rPr>
          <w:rFonts w:hint="eastAsia" w:ascii="楷体" w:hAnsi="楷体" w:eastAsia="楷体" w:cs="楷体"/>
          <w:b/>
          <w:kern w:val="2"/>
          <w:sz w:val="32"/>
          <w:szCs w:val="32"/>
          <w:lang w:val="en-US" w:eastAsia="zh-CN" w:bidi="ar-SA"/>
          <w14:ligatures w14:val="standardContextual"/>
        </w:rPr>
        <w:t>（三）培育</w:t>
      </w:r>
      <w:r>
        <w:rPr>
          <w:rFonts w:ascii="楷体" w:hAnsi="楷体" w:eastAsia="楷体" w:cs="楷体"/>
          <w:b/>
          <w:kern w:val="2"/>
          <w:sz w:val="32"/>
          <w:szCs w:val="32"/>
          <w:lang w:val="en-US" w:eastAsia="zh-CN" w:bidi="ar-SA"/>
          <w14:ligatures w14:val="standardContextual"/>
        </w:rPr>
        <w:t>产业链</w:t>
      </w:r>
      <w:r>
        <w:rPr>
          <w:rFonts w:hint="eastAsia" w:ascii="楷体" w:hAnsi="楷体" w:eastAsia="楷体" w:cs="楷体"/>
          <w:b/>
          <w:kern w:val="2"/>
          <w:sz w:val="32"/>
          <w:szCs w:val="32"/>
          <w:lang w:val="en-US" w:eastAsia="zh-CN" w:bidi="ar-SA"/>
          <w14:ligatures w14:val="standardContextual"/>
        </w:rPr>
        <w:t>重点企业。</w:t>
      </w:r>
      <w:r>
        <w:rPr>
          <w:rFonts w:ascii="仿宋_GB2312" w:hAnsi="仿宋_GB2312" w:eastAsia="仿宋_GB2312" w:cs="仿宋_GB2312"/>
          <w:kern w:val="0"/>
          <w:sz w:val="32"/>
          <w:szCs w:val="32"/>
          <w:shd w:val="clear" w:color="auto" w:fill="FFFFFF"/>
          <w:lang w:val="en-US" w:eastAsia="zh-CN" w:bidi="ar-SA"/>
          <w14:ligatures w14:val="none"/>
        </w:rPr>
        <w:t>加强电子信息企业用工、用电、用地等要素资源保障，进一步发挥省产业链金融服务团、“映山红”行动、省市产业发展基金等作用，积极争取金融支持。</w:t>
      </w:r>
      <w:r>
        <w:rPr>
          <w:rFonts w:hint="eastAsia" w:ascii="仿宋_GB2312" w:hAnsi="仿宋_GB2312" w:eastAsia="仿宋_GB2312" w:cs="仿宋_GB2312"/>
          <w:kern w:val="0"/>
          <w:sz w:val="32"/>
          <w:szCs w:val="32"/>
          <w:shd w:val="clear" w:color="auto" w:fill="FFFFFF"/>
          <w:lang w:val="en-US" w:eastAsia="zh-CN" w:bidi="ar-SA"/>
          <w14:ligatures w14:val="none"/>
        </w:rPr>
        <w:t>推进大中小企业融通，着力培育“专精特新”企业，打造一批细分行业和细分市场领军企业、单项冠军和“小巨人”企业，</w:t>
      </w:r>
      <w:bookmarkStart w:id="8" w:name="_Hlk166840282"/>
      <w:r>
        <w:rPr>
          <w:rFonts w:hint="eastAsia" w:ascii="仿宋_GB2312" w:hAnsi="仿宋_GB2312" w:eastAsia="仿宋_GB2312" w:cs="仿宋_GB2312"/>
          <w:kern w:val="0"/>
          <w:sz w:val="32"/>
          <w:szCs w:val="32"/>
          <w:shd w:val="clear" w:color="auto" w:fill="FFFFFF"/>
          <w:lang w:val="en-US" w:eastAsia="zh-CN" w:bidi="ar-SA"/>
          <w14:ligatures w14:val="none"/>
        </w:rPr>
        <w:t>促进乾富半导体、启福光科技、华仙科技等电子信息企业上规模、上台阶。</w:t>
      </w:r>
      <w:bookmarkEnd w:id="8"/>
      <w:r>
        <w:rPr>
          <w:rFonts w:hint="eastAsia" w:ascii="仿宋_GB2312" w:hAnsi="仿宋_GB2312" w:eastAsia="仿宋_GB2312" w:cs="仿宋_GB2312"/>
          <w:kern w:val="0"/>
          <w:sz w:val="32"/>
          <w:szCs w:val="32"/>
          <w:shd w:val="clear" w:color="auto" w:fill="FFFFFF"/>
          <w:lang w:val="en-US" w:eastAsia="zh-CN" w:bidi="ar-SA"/>
          <w14:ligatures w14:val="none"/>
        </w:rPr>
        <w:t>全面梳理制约我区电子元器件、终端产品与基础材料等领域产业发展的关键流程、关键环节、发展瓶颈和关键共性技术，精准打通产业发展中的堵点、断点，推动大中小企业配套协作各环节协同发展。组建基于股权投资的技术合作与资本运作平台，通过项目投资、股权投资等方式，推动全区电子信息企业沿着专精特新“小巨人”企业的方向，继续走专业化发展道路，形成专业化技术能力。</w:t>
      </w:r>
    </w:p>
    <w:p w14:paraId="180D27D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ascii="仿宋_GB2312" w:hAnsi="仿宋_GB2312" w:eastAsia="仿宋_GB2312" w:cs="仿宋_GB2312"/>
          <w:kern w:val="0"/>
          <w:sz w:val="32"/>
          <w:szCs w:val="32"/>
          <w:shd w:val="clear" w:color="auto" w:fill="FFFFFF"/>
          <w:lang w:val="en-US" w:eastAsia="zh-CN" w:bidi="ar-SA"/>
          <w14:ligatures w14:val="none"/>
        </w:rPr>
      </w:pPr>
      <w:r>
        <w:rPr>
          <w:rFonts w:hint="eastAsia" w:ascii="楷体" w:hAnsi="楷体" w:eastAsia="楷体" w:cs="仿宋_GB2312"/>
          <w:b/>
          <w:bCs/>
          <w:kern w:val="0"/>
          <w:sz w:val="32"/>
          <w:szCs w:val="32"/>
          <w:shd w:val="clear" w:color="auto" w:fill="FFFFFF"/>
          <w:lang w:val="en-US" w:eastAsia="zh-CN" w:bidi="ar-SA"/>
          <w14:ligatures w14:val="none"/>
        </w:rPr>
        <w:t>（四）加快产业链集群发展。</w:t>
      </w:r>
      <w:r>
        <w:rPr>
          <w:rFonts w:hint="eastAsia" w:ascii="仿宋_GB2312" w:hAnsi="仿宋_GB2312" w:eastAsia="仿宋_GB2312" w:cs="仿宋_GB2312"/>
          <w:kern w:val="0"/>
          <w:sz w:val="32"/>
          <w:szCs w:val="32"/>
          <w:shd w:val="clear" w:color="auto" w:fill="FFFFFF"/>
          <w:lang w:val="en-US" w:eastAsia="zh-CN" w:bidi="ar-SA"/>
          <w14:ligatures w14:val="none"/>
        </w:rPr>
        <w:t>进一步完善</w:t>
      </w:r>
      <w:r>
        <w:rPr>
          <w:rFonts w:ascii="仿宋_GB2312" w:hAnsi="仿宋_GB2312" w:eastAsia="仿宋_GB2312" w:cs="仿宋_GB2312"/>
          <w:kern w:val="0"/>
          <w:sz w:val="32"/>
          <w:szCs w:val="32"/>
          <w:shd w:val="clear" w:color="auto" w:fill="FFFFFF"/>
          <w:lang w:val="en-US" w:eastAsia="zh-CN" w:bidi="ar-SA"/>
          <w14:ligatures w14:val="none"/>
        </w:rPr>
        <w:t>电子信息产业</w:t>
      </w:r>
      <w:r>
        <w:rPr>
          <w:rFonts w:hint="eastAsia" w:ascii="仿宋_GB2312" w:hAnsi="仿宋_GB2312" w:eastAsia="仿宋_GB2312" w:cs="仿宋_GB2312"/>
          <w:kern w:val="0"/>
          <w:sz w:val="32"/>
          <w:szCs w:val="32"/>
          <w:shd w:val="clear" w:color="auto" w:fill="FFFFFF"/>
          <w:lang w:val="en-US" w:eastAsia="zh-CN" w:bidi="ar-SA"/>
          <w14:ligatures w14:val="none"/>
        </w:rPr>
        <w:t>发展平台，加快推进电子信息产业园（三期）建设，推进昌江产业园调区扩区、满园扩园，充分</w:t>
      </w:r>
      <w:r>
        <w:rPr>
          <w:rFonts w:ascii="仿宋_GB2312" w:hAnsi="仿宋_GB2312" w:eastAsia="仿宋_GB2312" w:cs="仿宋_GB2312"/>
          <w:kern w:val="0"/>
          <w:sz w:val="32"/>
          <w:szCs w:val="32"/>
          <w:shd w:val="clear" w:color="auto" w:fill="FFFFFF"/>
          <w:lang w:val="en-US" w:eastAsia="zh-CN" w:bidi="ar-SA"/>
          <w14:ligatures w14:val="none"/>
        </w:rPr>
        <w:t>发挥电子信息产业园承载能力，强化龙头拉动、配套助力，做大、做长、做强</w:t>
      </w:r>
      <w:r>
        <w:rPr>
          <w:rFonts w:hint="eastAsia" w:ascii="仿宋_GB2312" w:hAnsi="仿宋_GB2312" w:eastAsia="仿宋_GB2312" w:cs="仿宋_GB2312"/>
          <w:kern w:val="0"/>
          <w:sz w:val="32"/>
          <w:szCs w:val="32"/>
          <w:shd w:val="clear" w:color="auto" w:fill="FFFFFF"/>
          <w:lang w:val="en-US" w:eastAsia="zh-CN" w:bidi="ar-SA"/>
          <w14:ligatures w14:val="none"/>
        </w:rPr>
        <w:t>电子信息</w:t>
      </w:r>
      <w:r>
        <w:rPr>
          <w:rFonts w:ascii="仿宋_GB2312" w:hAnsi="仿宋_GB2312" w:eastAsia="仿宋_GB2312" w:cs="仿宋_GB2312"/>
          <w:kern w:val="0"/>
          <w:sz w:val="32"/>
          <w:szCs w:val="32"/>
          <w:shd w:val="clear" w:color="auto" w:fill="FFFFFF"/>
          <w:lang w:val="en-US" w:eastAsia="zh-CN" w:bidi="ar-SA"/>
          <w14:ligatures w14:val="none"/>
        </w:rPr>
        <w:t>产业集群。强化乐彭</w:t>
      </w:r>
      <w:r>
        <w:rPr>
          <w:rFonts w:hint="eastAsia" w:ascii="仿宋_GB2312" w:hAnsi="仿宋_GB2312" w:eastAsia="仿宋_GB2312" w:cs="仿宋_GB2312"/>
          <w:kern w:val="0"/>
          <w:sz w:val="32"/>
          <w:szCs w:val="32"/>
          <w:shd w:val="clear" w:color="auto" w:fill="FFFFFF"/>
          <w:lang w:val="en-US" w:eastAsia="zh-CN" w:bidi="ar-SA"/>
          <w14:ligatures w14:val="none"/>
        </w:rPr>
        <w:t>电器</w:t>
      </w:r>
      <w:r>
        <w:rPr>
          <w:rFonts w:ascii="仿宋_GB2312" w:hAnsi="仿宋_GB2312" w:eastAsia="仿宋_GB2312" w:cs="仿宋_GB2312"/>
          <w:kern w:val="0"/>
          <w:sz w:val="32"/>
          <w:szCs w:val="32"/>
          <w:shd w:val="clear" w:color="auto" w:fill="FFFFFF"/>
          <w:lang w:val="en-US" w:eastAsia="zh-CN" w:bidi="ar-SA"/>
          <w14:ligatures w14:val="none"/>
        </w:rPr>
        <w:t>带动作用，加快推进乾富半导体、启福光科技</w:t>
      </w:r>
      <w:r>
        <w:rPr>
          <w:rFonts w:hint="eastAsia" w:ascii="仿宋_GB2312" w:hAnsi="仿宋_GB2312" w:eastAsia="仿宋_GB2312" w:cs="仿宋_GB2312"/>
          <w:kern w:val="0"/>
          <w:sz w:val="32"/>
          <w:szCs w:val="32"/>
          <w:shd w:val="clear" w:color="auto" w:fill="FFFFFF"/>
          <w:lang w:val="en-US" w:eastAsia="zh-CN" w:bidi="ar-SA"/>
          <w14:ligatures w14:val="none"/>
        </w:rPr>
        <w:t>、华仙科技、聚能立电子</w:t>
      </w:r>
      <w:r>
        <w:rPr>
          <w:rFonts w:ascii="仿宋_GB2312" w:hAnsi="仿宋_GB2312" w:eastAsia="仿宋_GB2312" w:cs="仿宋_GB2312"/>
          <w:kern w:val="0"/>
          <w:sz w:val="32"/>
          <w:szCs w:val="32"/>
          <w:shd w:val="clear" w:color="auto" w:fill="FFFFFF"/>
          <w:lang w:val="en-US" w:eastAsia="zh-CN" w:bidi="ar-SA"/>
          <w14:ligatures w14:val="none"/>
        </w:rPr>
        <w:t>项目建设，</w:t>
      </w:r>
      <w:r>
        <w:rPr>
          <w:rFonts w:hint="eastAsia" w:ascii="仿宋_GB2312" w:hAnsi="仿宋_GB2312" w:eastAsia="仿宋_GB2312" w:cs="仿宋_GB2312"/>
          <w:kern w:val="0"/>
          <w:sz w:val="32"/>
          <w:szCs w:val="32"/>
          <w:shd w:val="clear" w:color="auto" w:fill="FFFFFF"/>
          <w:lang w:val="en-US" w:eastAsia="zh-CN" w:bidi="ar-SA"/>
          <w14:ligatures w14:val="none"/>
        </w:rPr>
        <w:t>深耕</w:t>
      </w:r>
      <w:r>
        <w:rPr>
          <w:rFonts w:ascii="仿宋_GB2312" w:hAnsi="仿宋_GB2312" w:eastAsia="仿宋_GB2312" w:cs="仿宋_GB2312"/>
          <w:kern w:val="0"/>
          <w:sz w:val="32"/>
          <w:szCs w:val="32"/>
          <w:shd w:val="clear" w:color="auto" w:fill="FFFFFF"/>
          <w:lang w:val="en-US" w:eastAsia="zh-CN" w:bidi="ar-SA"/>
          <w14:ligatures w14:val="none"/>
        </w:rPr>
        <w:t>LED照明细分领域，延伸LED产业链上下游</w:t>
      </w:r>
      <w:r>
        <w:rPr>
          <w:rFonts w:hint="eastAsia" w:ascii="仿宋_GB2312" w:hAnsi="仿宋_GB2312" w:eastAsia="仿宋_GB2312" w:cs="仿宋_GB2312"/>
          <w:kern w:val="0"/>
          <w:sz w:val="32"/>
          <w:szCs w:val="32"/>
          <w:shd w:val="clear" w:color="auto" w:fill="FFFFFF"/>
          <w:lang w:val="en-US" w:eastAsia="zh-CN" w:bidi="ar-SA"/>
          <w14:ligatures w14:val="none"/>
        </w:rPr>
        <w:t>。积极引入我国电子信息配套龙头企业、关联领域具备技术实力的企业来我区开展项目合作、设立研发机构、开展电子信息产业配套生产。</w:t>
      </w:r>
      <w:r>
        <w:rPr>
          <w:rFonts w:ascii="仿宋_GB2312" w:hAnsi="仿宋_GB2312" w:eastAsia="仿宋_GB2312" w:cs="仿宋_GB2312"/>
          <w:kern w:val="0"/>
          <w:sz w:val="32"/>
          <w:szCs w:val="32"/>
          <w:shd w:val="clear" w:color="auto" w:fill="FFFFFF"/>
          <w:lang w:val="en-US" w:eastAsia="zh-CN" w:bidi="ar-SA"/>
          <w14:ligatures w14:val="none"/>
        </w:rPr>
        <w:t>通过做大规模效益、做强项目支撑、做好主导产业、做优公共服务、做实治理能力，持续推动电子信息产业集群提质升级，形成集群效应。</w:t>
      </w:r>
    </w:p>
    <w:p w14:paraId="76DDBFDD">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ascii="仿宋_GB2312" w:hAnsi="仿宋_GB2312" w:eastAsia="仿宋_GB2312" w:cs="仿宋_GB2312"/>
          <w:kern w:val="0"/>
          <w:sz w:val="32"/>
          <w:szCs w:val="32"/>
          <w:shd w:val="clear" w:color="auto" w:fill="FFFFFF"/>
          <w:lang w:val="en-US" w:eastAsia="zh-CN" w:bidi="ar-SA"/>
          <w14:ligatures w14:val="none"/>
        </w:rPr>
      </w:pPr>
      <w:r>
        <w:rPr>
          <w:rFonts w:hint="eastAsia" w:ascii="楷体" w:hAnsi="楷体" w:eastAsia="楷体" w:cs="仿宋_GB2312"/>
          <w:b/>
          <w:bCs/>
          <w:kern w:val="0"/>
          <w:sz w:val="32"/>
          <w:szCs w:val="32"/>
          <w:shd w:val="clear" w:color="auto" w:fill="FFFFFF"/>
          <w:lang w:val="en-US" w:eastAsia="zh-CN" w:bidi="ar-SA"/>
          <w14:ligatures w14:val="none"/>
        </w:rPr>
        <w:t>（五）推动产业链赋能升级。</w:t>
      </w:r>
      <w:r>
        <w:rPr>
          <w:rFonts w:ascii="仿宋_GB2312" w:hAnsi="仿宋_GB2312" w:eastAsia="仿宋_GB2312" w:cs="仿宋_GB2312"/>
          <w:kern w:val="0"/>
          <w:sz w:val="32"/>
          <w:szCs w:val="32"/>
          <w:shd w:val="clear" w:color="auto" w:fill="FFFFFF"/>
          <w:lang w:val="en-US" w:eastAsia="zh-CN" w:bidi="ar-SA"/>
          <w14:ligatures w14:val="none"/>
        </w:rPr>
        <w:t>贯彻落实《江西省电子信息产业数字化转型行动计划（2023—2025年）》（赣工信电子字〔2023〕82号）和《景德镇“十四五”制造业高质量发展规划》精神，密切关注长三角、粤港澳大湾区等区域重点企业和重大项目前沿动态，积极开展工业互联网一体化进园区</w:t>
      </w:r>
      <w:r>
        <w:rPr>
          <w:rFonts w:hint="eastAsia" w:ascii="仿宋_GB2312" w:hAnsi="仿宋_GB2312" w:eastAsia="仿宋_GB2312" w:cs="仿宋_GB2312"/>
          <w:kern w:val="0"/>
          <w:sz w:val="32"/>
          <w:szCs w:val="32"/>
          <w:shd w:val="clear" w:color="auto" w:fill="FFFFFF"/>
          <w:lang w:val="en-US" w:eastAsia="zh-CN" w:bidi="ar-SA"/>
          <w14:ligatures w14:val="none"/>
        </w:rPr>
        <w:t>、</w:t>
      </w:r>
      <w:r>
        <w:rPr>
          <w:rFonts w:ascii="仿宋_GB2312" w:hAnsi="仿宋_GB2312" w:eastAsia="仿宋_GB2312" w:cs="仿宋_GB2312"/>
          <w:kern w:val="0"/>
          <w:sz w:val="32"/>
          <w:szCs w:val="32"/>
          <w:shd w:val="clear" w:color="auto" w:fill="FFFFFF"/>
          <w:lang w:val="en-US" w:eastAsia="zh-CN" w:bidi="ar-SA"/>
          <w14:ligatures w14:val="none"/>
        </w:rPr>
        <w:t>“百城千园行”</w:t>
      </w:r>
      <w:r>
        <w:rPr>
          <w:rFonts w:hint="eastAsia" w:ascii="仿宋_GB2312" w:hAnsi="仿宋_GB2312" w:eastAsia="仿宋_GB2312" w:cs="仿宋_GB2312"/>
          <w:kern w:val="0"/>
          <w:sz w:val="32"/>
          <w:szCs w:val="32"/>
          <w:shd w:val="clear" w:color="auto" w:fill="FFFFFF"/>
          <w:lang w:val="en-US" w:eastAsia="zh-CN" w:bidi="ar-SA"/>
          <w14:ligatures w14:val="none"/>
        </w:rPr>
        <w:t>、</w:t>
      </w:r>
      <w:r>
        <w:rPr>
          <w:rFonts w:ascii="仿宋_GB2312" w:hAnsi="仿宋_GB2312" w:eastAsia="仿宋_GB2312" w:cs="仿宋_GB2312"/>
          <w:kern w:val="0"/>
          <w:sz w:val="32"/>
          <w:szCs w:val="32"/>
          <w:shd w:val="clear" w:color="auto" w:fill="FFFFFF"/>
          <w:lang w:val="en-US" w:eastAsia="zh-CN" w:bidi="ar-SA"/>
          <w14:ligatures w14:val="none"/>
        </w:rPr>
        <w:t>产业数字化发展水平评价普查等活动，加快推进</w:t>
      </w:r>
      <w:r>
        <w:rPr>
          <w:rFonts w:hint="eastAsia" w:ascii="仿宋_GB2312" w:hAnsi="仿宋_GB2312" w:eastAsia="仿宋_GB2312" w:cs="仿宋_GB2312"/>
          <w:kern w:val="0"/>
          <w:sz w:val="32"/>
          <w:szCs w:val="32"/>
          <w:shd w:val="clear" w:color="auto" w:fill="FFFFFF"/>
          <w:lang w:val="en-US" w:eastAsia="zh-CN" w:bidi="ar-SA"/>
          <w14:ligatures w14:val="none"/>
        </w:rPr>
        <w:t>我区</w:t>
      </w:r>
      <w:r>
        <w:rPr>
          <w:rFonts w:ascii="仿宋_GB2312" w:hAnsi="仿宋_GB2312" w:eastAsia="仿宋_GB2312" w:cs="仿宋_GB2312"/>
          <w:kern w:val="0"/>
          <w:sz w:val="32"/>
          <w:szCs w:val="32"/>
          <w:shd w:val="clear" w:color="auto" w:fill="FFFFFF"/>
          <w:lang w:val="en-US" w:eastAsia="zh-CN" w:bidi="ar-SA"/>
          <w14:ligatures w14:val="none"/>
        </w:rPr>
        <w:t>传统电子信息企业信息化和工业化的深度结合</w:t>
      </w:r>
      <w:r>
        <w:rPr>
          <w:rFonts w:hint="eastAsia" w:ascii="仿宋_GB2312" w:hAnsi="仿宋_GB2312" w:eastAsia="仿宋_GB2312" w:cs="仿宋_GB2312"/>
          <w:kern w:val="0"/>
          <w:sz w:val="32"/>
          <w:szCs w:val="32"/>
          <w:shd w:val="clear" w:color="auto" w:fill="FFFFFF"/>
          <w:lang w:val="en-US" w:eastAsia="zh-CN" w:bidi="ar-SA"/>
          <w14:ligatures w14:val="none"/>
        </w:rPr>
        <w:t>。</w:t>
      </w:r>
      <w:r>
        <w:rPr>
          <w:rFonts w:ascii="仿宋_GB2312" w:hAnsi="仿宋_GB2312" w:eastAsia="仿宋_GB2312" w:cs="仿宋_GB2312"/>
          <w:kern w:val="0"/>
          <w:sz w:val="32"/>
          <w:szCs w:val="32"/>
          <w:shd w:val="clear" w:color="auto" w:fill="FFFFFF"/>
          <w:lang w:val="en-US" w:eastAsia="zh-CN" w:bidi="ar-SA"/>
          <w14:ligatures w14:val="none"/>
        </w:rPr>
        <w:t>持续推动两化融合认定工作，引导企业以信息化带动工业化、以工业化促进信息化</w:t>
      </w:r>
      <w:r>
        <w:rPr>
          <w:rFonts w:hint="eastAsia" w:ascii="仿宋_GB2312" w:hAnsi="仿宋_GB2312" w:eastAsia="仿宋_GB2312" w:cs="仿宋_GB2312"/>
          <w:kern w:val="0"/>
          <w:sz w:val="32"/>
          <w:szCs w:val="32"/>
          <w:shd w:val="clear" w:color="auto" w:fill="FFFFFF"/>
          <w:lang w:val="en-US" w:eastAsia="zh-CN" w:bidi="ar-SA"/>
          <w14:ligatures w14:val="none"/>
        </w:rPr>
        <w:t>。</w:t>
      </w:r>
      <w:r>
        <w:rPr>
          <w:rFonts w:ascii="仿宋_GB2312" w:hAnsi="仿宋_GB2312" w:eastAsia="仿宋_GB2312" w:cs="仿宋_GB2312"/>
          <w:kern w:val="0"/>
          <w:sz w:val="32"/>
          <w:szCs w:val="32"/>
          <w:shd w:val="clear" w:color="auto" w:fill="FFFFFF"/>
          <w:lang w:val="en-US" w:eastAsia="zh-CN" w:bidi="ar-SA"/>
          <w14:ligatures w14:val="none"/>
        </w:rPr>
        <w:t>深入开展数字化基础培育行动、数字化赋能提升行动、产业集群发展提升行动、数字化典型案例推广行动，借助省级数字化转型促进中心等平台，引导企业运用新一代信息技术对</w:t>
      </w:r>
      <w:r>
        <w:rPr>
          <w:rFonts w:hint="eastAsia" w:ascii="仿宋_GB2312" w:hAnsi="仿宋_GB2312" w:eastAsia="仿宋_GB2312" w:cs="仿宋_GB2312"/>
          <w:kern w:val="0"/>
          <w:sz w:val="32"/>
          <w:szCs w:val="32"/>
          <w:shd w:val="clear" w:color="auto" w:fill="FFFFFF"/>
          <w:lang w:val="en-US" w:eastAsia="zh-CN" w:bidi="ar-SA"/>
          <w14:ligatures w14:val="none"/>
        </w:rPr>
        <w:t>生产设备、工艺流程、经营管理进行数字化改造，推动企业数据上云、触网升级，提升企业数据治理能力和数据资产管理水平，帮助企业降本增效。</w:t>
      </w:r>
    </w:p>
    <w:p w14:paraId="52D37F9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黑体" w:hAnsi="黑体" w:eastAsia="黑体" w:cs="黑体"/>
          <w:b w:val="0"/>
          <w:bCs/>
          <w:kern w:val="0"/>
          <w:sz w:val="32"/>
          <w:szCs w:val="32"/>
          <w:shd w:val="clear" w:color="auto" w:fill="FFFFFF"/>
          <w:lang w:val="en-US" w:eastAsia="zh-CN" w:bidi="ar-SA"/>
          <w14:ligatures w14:val="none"/>
        </w:rPr>
      </w:pPr>
      <w:r>
        <w:rPr>
          <w:rFonts w:hint="eastAsia" w:ascii="黑体" w:hAnsi="黑体" w:eastAsia="黑体" w:cs="黑体"/>
          <w:b w:val="0"/>
          <w:bCs/>
          <w:kern w:val="2"/>
          <w:sz w:val="32"/>
          <w:szCs w:val="32"/>
          <w:shd w:val="clear" w:color="auto" w:fill="FFFFFF"/>
          <w:lang w:val="en-US" w:eastAsia="zh-CN" w:bidi="ar-SA"/>
          <w14:ligatures w14:val="standardContextual"/>
        </w:rPr>
        <w:t>三、组织实施</w:t>
      </w:r>
    </w:p>
    <w:p w14:paraId="6C6DA47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仿宋_GB2312" w:hAnsi="仿宋_GB2312" w:eastAsia="仿宋_GB2312" w:cs="仿宋_GB2312"/>
          <w:kern w:val="0"/>
          <w:sz w:val="32"/>
          <w:szCs w:val="32"/>
          <w:shd w:val="clear" w:color="auto" w:fill="FFFFFF"/>
          <w:lang w:val="en-US" w:eastAsia="zh-CN" w:bidi="ar-SA"/>
          <w14:ligatures w14:val="none"/>
        </w:rPr>
      </w:pPr>
      <w:r>
        <w:rPr>
          <w:rFonts w:hint="eastAsia" w:ascii="楷体" w:hAnsi="楷体" w:eastAsia="楷体" w:cs="仿宋_GB2312"/>
          <w:b/>
          <w:bCs/>
          <w:kern w:val="0"/>
          <w:sz w:val="32"/>
          <w:szCs w:val="32"/>
          <w:shd w:val="clear" w:color="auto" w:fill="FFFFFF"/>
          <w:lang w:val="en-US" w:eastAsia="zh-CN" w:bidi="ar-SA"/>
          <w14:ligatures w14:val="none"/>
        </w:rPr>
        <w:t>（一）加强组织领导。</w:t>
      </w:r>
      <w:r>
        <w:rPr>
          <w:rFonts w:hint="eastAsia" w:ascii="仿宋_GB2312" w:hAnsi="仿宋_GB2312" w:eastAsia="仿宋_GB2312" w:cs="仿宋_GB2312"/>
          <w:kern w:val="0"/>
          <w:sz w:val="32"/>
          <w:szCs w:val="32"/>
          <w:shd w:val="clear" w:color="auto" w:fill="FFFFFF"/>
          <w:lang w:val="en-US" w:eastAsia="zh-CN" w:bidi="ar-SA"/>
          <w14:ligatures w14:val="none"/>
        </w:rPr>
        <w:t>全面落实《关于实施昌江区产业链链长制工作方案》，充分发挥电子信息产业链链长制工作机制，统筹全区电子信息产业发展。围绕</w:t>
      </w:r>
      <w:r>
        <w:rPr>
          <w:rFonts w:hint="eastAsia" w:ascii="仿宋" w:hAnsi="仿宋" w:eastAsia="仿宋" w:cs="仿宋_GB2312"/>
          <w:kern w:val="0"/>
          <w:sz w:val="32"/>
          <w:szCs w:val="32"/>
          <w:lang w:val="en-US" w:eastAsia="zh-CN" w:bidi="ar-SA"/>
          <w14:ligatures w14:val="none"/>
        </w:rPr>
        <w:t>电子元器件、终端产品与基础材料</w:t>
      </w:r>
      <w:r>
        <w:rPr>
          <w:rFonts w:hint="eastAsia" w:ascii="仿宋_GB2312" w:hAnsi="仿宋_GB2312" w:eastAsia="仿宋_GB2312" w:cs="仿宋_GB2312"/>
          <w:kern w:val="0"/>
          <w:sz w:val="32"/>
          <w:szCs w:val="32"/>
          <w:shd w:val="clear" w:color="auto" w:fill="FFFFFF"/>
          <w:lang w:val="en-US" w:eastAsia="zh-CN" w:bidi="ar-SA"/>
          <w14:ligatures w14:val="none"/>
        </w:rPr>
        <w:t>等领域及其配套项目需求，制定并监督实施鼓励硬件制造、软件开发、新一代信息技术融合应用一体发展的优惠政策。</w:t>
      </w:r>
    </w:p>
    <w:p w14:paraId="1FACAAAA">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ascii="仿宋_GB2312" w:hAnsi="仿宋_GB2312" w:eastAsia="仿宋_GB2312" w:cs="仿宋_GB2312"/>
          <w:kern w:val="0"/>
          <w:sz w:val="32"/>
          <w:szCs w:val="32"/>
          <w:shd w:val="clear" w:color="auto" w:fill="FFFFFF"/>
          <w:lang w:val="en-US" w:eastAsia="zh-CN" w:bidi="ar-SA"/>
          <w14:ligatures w14:val="none"/>
        </w:rPr>
      </w:pPr>
      <w:r>
        <w:rPr>
          <w:rFonts w:hint="eastAsia" w:ascii="楷体" w:hAnsi="楷体" w:eastAsia="楷体" w:cs="仿宋_GB2312"/>
          <w:b/>
          <w:bCs/>
          <w:kern w:val="0"/>
          <w:sz w:val="32"/>
          <w:szCs w:val="32"/>
          <w:shd w:val="clear" w:color="auto" w:fill="FFFFFF"/>
          <w:lang w:val="en-US" w:eastAsia="zh-CN" w:bidi="ar-SA"/>
          <w14:ligatures w14:val="none"/>
        </w:rPr>
        <w:t>（二）强化政策支持。</w:t>
      </w:r>
      <w:r>
        <w:rPr>
          <w:rFonts w:hint="eastAsia" w:ascii="仿宋_GB2312" w:hAnsi="仿宋_GB2312" w:eastAsia="仿宋_GB2312" w:cs="仿宋_GB2312"/>
          <w:kern w:val="0"/>
          <w:sz w:val="32"/>
          <w:szCs w:val="32"/>
          <w:shd w:val="clear" w:color="auto" w:fill="FFFFFF"/>
          <w:lang w:val="en-US" w:eastAsia="zh-CN" w:bidi="ar-SA"/>
          <w14:ligatures w14:val="none"/>
        </w:rPr>
        <w:t>紧盯国家、省、市政策动态和资金投向，全力争取各级扶持电子信息产业发展的各类专项资金和产业基金，用好用活增值税抵扣、加速折旧、高新技术企业所得税减免等税收优惠政策，支持企业高质量发展。充分发挥政府投资撬动作用，统筹各级财政专项资金，集中支持一批带动性强的示范项目，吸引社会资本跟投。完善政银企对接机制，引导金融机构加大对重大项目建设的信贷支持。鼓励金融机构开发差异化、针对性的金融产品，满足各类企业融资需求。</w:t>
      </w:r>
    </w:p>
    <w:p w14:paraId="33554837">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仿宋_GB2312" w:hAnsi="仿宋_GB2312" w:eastAsia="仿宋_GB2312" w:cs="仿宋_GB2312"/>
          <w:kern w:val="0"/>
          <w:sz w:val="32"/>
          <w:szCs w:val="32"/>
          <w:shd w:val="clear" w:color="auto" w:fill="FFFFFF"/>
          <w:lang w:val="en-US" w:eastAsia="zh-CN" w:bidi="ar-SA"/>
          <w14:ligatures w14:val="none"/>
        </w:rPr>
      </w:pPr>
      <w:r>
        <w:rPr>
          <w:rFonts w:hint="eastAsia" w:ascii="楷体" w:hAnsi="楷体" w:eastAsia="楷体" w:cs="仿宋_GB2312"/>
          <w:b/>
          <w:bCs/>
          <w:kern w:val="0"/>
          <w:sz w:val="32"/>
          <w:szCs w:val="32"/>
          <w:shd w:val="clear" w:color="auto" w:fill="FFFFFF"/>
          <w:lang w:val="en-US" w:eastAsia="zh-CN" w:bidi="ar-SA"/>
          <w14:ligatures w14:val="none"/>
        </w:rPr>
        <w:t>（四）加快人才引育。</w:t>
      </w:r>
      <w:r>
        <w:rPr>
          <w:rFonts w:hint="eastAsia" w:ascii="仿宋_GB2312" w:hAnsi="仿宋_GB2312" w:eastAsia="仿宋_GB2312" w:cs="仿宋_GB2312"/>
          <w:kern w:val="0"/>
          <w:sz w:val="32"/>
          <w:szCs w:val="32"/>
          <w:shd w:val="clear" w:color="auto" w:fill="FFFFFF"/>
          <w:lang w:val="en-US" w:eastAsia="zh-CN" w:bidi="ar-SA"/>
          <w14:ligatures w14:val="none"/>
        </w:rPr>
        <w:t>完善从研发、转化、生产到管理的人才引进培养体系。重点支持电子信息产业发展需要的高层次人才、紧缺型人才、创新创业人才和实用型人才的引进和培养，加大专业技术人才、经营管理人才和技能人才的引进力度。建立一批实训基地，加大职业教育和技能培训力度，培养高素质产业技术工人。推行企业“订单式”人才培养模式，鼓励景德镇陶瓷大学、景德镇学院等本地院校强化校企合作、园校对接，强化产业人才保障。</w:t>
      </w:r>
    </w:p>
    <w:p w14:paraId="6921719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仿宋_GB2312" w:hAnsi="仿宋_GB2312" w:eastAsia="仿宋_GB2312" w:cs="仿宋_GB2312"/>
          <w:kern w:val="0"/>
          <w:sz w:val="32"/>
          <w:szCs w:val="32"/>
          <w:lang w:val="en-US" w:eastAsia="zh-CN" w:bidi="ar-SA"/>
          <w14:ligatures w14:val="none"/>
        </w:rPr>
      </w:pPr>
      <w:r>
        <w:rPr>
          <w:rFonts w:hint="eastAsia" w:ascii="楷体" w:hAnsi="楷体" w:eastAsia="楷体" w:cs="仿宋_GB2312"/>
          <w:b/>
          <w:bCs/>
          <w:kern w:val="0"/>
          <w:sz w:val="32"/>
          <w:szCs w:val="32"/>
          <w:shd w:val="clear" w:color="auto" w:fill="FFFFFF"/>
          <w:lang w:val="en-US" w:eastAsia="zh-CN" w:bidi="ar-SA"/>
          <w14:ligatures w14:val="none"/>
        </w:rPr>
        <w:t>（五）优化营商环境。</w:t>
      </w:r>
      <w:r>
        <w:rPr>
          <w:rFonts w:hint="eastAsia" w:ascii="仿宋_GB2312" w:hAnsi="仿宋_GB2312" w:eastAsia="仿宋_GB2312" w:cs="仿宋_GB2312"/>
          <w:kern w:val="0"/>
          <w:sz w:val="32"/>
          <w:szCs w:val="32"/>
          <w:lang w:val="en-US" w:eastAsia="zh-CN" w:bidi="ar-SA"/>
          <w14:ligatures w14:val="none"/>
        </w:rPr>
        <w:t>用好、用准工业发展专项资金及财园信贷通等政府政策性资金，将政策资金“一杆子插到底”，做到快享直达，减少政务审批流程，让企业轻装前行。充分做好企银牵线搭桥人，通过财园信贷通拓宽企业融资渠道。开展清欠专项工作，缓解企业资金压力。加强政策宣传，通过上户走访、企业服务日、政务网站公开以及融媒体宣传等“线上＋线下”相结合方式多渠道、全方位将政策送到企业身边，提升服务企业的质量和效能。</w:t>
      </w:r>
    </w:p>
    <w:p w14:paraId="3EBFFB5E">
      <w:pPr>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br w:type="page"/>
      </w:r>
    </w:p>
    <w:p w14:paraId="7FCD2240">
      <w:pPr>
        <w:widowControl/>
        <w:shd w:val="clear" w:color="auto" w:fill="FFFFFF"/>
        <w:spacing w:beforeAutospacing="1" w:after="150" w:afterAutospacing="1" w:line="580" w:lineRule="exact"/>
        <w:jc w:val="left"/>
        <w:rPr>
          <w:rFonts w:hint="default" w:ascii="仿宋_GB2312" w:hAnsi="仿宋_GB2312" w:eastAsia="仿宋_GB2312" w:cs="仿宋_GB2312"/>
          <w:b/>
          <w:bCs/>
          <w:kern w:val="0"/>
          <w:sz w:val="32"/>
          <w:szCs w:val="32"/>
          <w:lang w:val="en-US" w:eastAsia="zh-CN" w:bidi="ar-SA"/>
          <w14:ligatures w14:val="none"/>
        </w:rPr>
      </w:pPr>
      <w:r>
        <w:rPr>
          <w:rFonts w:hint="eastAsia" w:ascii="仿宋_GB2312" w:hAnsi="仿宋_GB2312" w:eastAsia="仿宋_GB2312" w:cs="仿宋_GB2312"/>
          <w:b/>
          <w:bCs/>
          <w:kern w:val="0"/>
          <w:sz w:val="32"/>
          <w:szCs w:val="32"/>
          <w:lang w:val="en-US" w:eastAsia="zh-CN" w:bidi="ar-SA"/>
          <w14:ligatures w14:val="none"/>
        </w:rPr>
        <w:t>附件4</w:t>
      </w:r>
    </w:p>
    <w:p w14:paraId="75344FED">
      <w:pPr>
        <w:rPr>
          <w:rFonts w:hint="eastAsia" w:ascii="仿宋_GB2312" w:hAnsi="仿宋_GB2312" w:eastAsia="仿宋_GB2312" w:cs="仿宋_GB2312"/>
          <w:sz w:val="32"/>
          <w:szCs w:val="32"/>
          <w:lang w:val="en-US" w:eastAsia="zh-CN"/>
        </w:rPr>
      </w:pPr>
    </w:p>
    <w:p w14:paraId="7EE509DB">
      <w:pPr>
        <w:widowControl/>
        <w:shd w:val="clear" w:color="auto" w:fill="FFFFFF"/>
        <w:spacing w:beforeAutospacing="0" w:afterAutospacing="0" w:line="580" w:lineRule="exact"/>
        <w:jc w:val="center"/>
        <w:rPr>
          <w:rFonts w:hint="eastAsia" w:ascii="方正小标宋简体" w:hAnsi="方正小标宋简体" w:eastAsia="方正小标宋简体" w:cs="方正小标宋简体"/>
          <w:b w:val="0"/>
          <w:bCs/>
          <w:kern w:val="0"/>
          <w:sz w:val="44"/>
          <w:szCs w:val="44"/>
          <w:shd w:val="clear" w:color="auto" w:fill="FFFFFF"/>
          <w:lang w:val="en-US" w:eastAsia="zh-CN" w:bidi="ar-SA"/>
          <w14:ligatures w14:val="none"/>
        </w:rPr>
      </w:pPr>
      <w:r>
        <w:rPr>
          <w:rFonts w:hint="eastAsia" w:ascii="方正小标宋简体" w:hAnsi="方正小标宋简体" w:eastAsia="方正小标宋简体" w:cs="方正小标宋简体"/>
          <w:b w:val="0"/>
          <w:bCs/>
          <w:kern w:val="2"/>
          <w:sz w:val="44"/>
          <w:szCs w:val="44"/>
          <w:shd w:val="clear" w:color="auto" w:fill="FFFFFF"/>
          <w:lang w:val="en-US" w:eastAsia="zh-CN" w:bidi="ar-SA"/>
          <w14:ligatures w14:val="standardContextual"/>
        </w:rPr>
        <w:t>昌江区陶瓷产业链现代化建设</w:t>
      </w:r>
    </w:p>
    <w:p w14:paraId="1569A7BD">
      <w:pPr>
        <w:widowControl/>
        <w:shd w:val="clear" w:color="auto" w:fill="FFFFFF"/>
        <w:spacing w:beforeAutospacing="0" w:afterAutospacing="0" w:line="580" w:lineRule="exact"/>
        <w:jc w:val="center"/>
        <w:rPr>
          <w:rFonts w:hint="eastAsia" w:ascii="方正小标宋简体" w:hAnsi="方正小标宋简体" w:eastAsia="方正小标宋简体" w:cs="方正小标宋简体"/>
          <w:b w:val="0"/>
          <w:bCs/>
          <w:kern w:val="0"/>
          <w:sz w:val="44"/>
          <w:szCs w:val="44"/>
          <w:shd w:val="clear" w:color="auto" w:fill="FFFFFF"/>
          <w:lang w:val="en-US" w:eastAsia="zh-CN" w:bidi="ar-SA"/>
          <w14:ligatures w14:val="none"/>
        </w:rPr>
      </w:pPr>
      <w:r>
        <w:rPr>
          <w:rFonts w:hint="eastAsia" w:ascii="方正小标宋简体" w:hAnsi="方正小标宋简体" w:eastAsia="方正小标宋简体" w:cs="方正小标宋简体"/>
          <w:b w:val="0"/>
          <w:bCs/>
          <w:kern w:val="2"/>
          <w:sz w:val="44"/>
          <w:szCs w:val="44"/>
          <w:shd w:val="clear" w:color="auto" w:fill="FFFFFF"/>
          <w:lang w:val="en-US" w:eastAsia="zh-CN" w:bidi="ar-SA"/>
          <w14:ligatures w14:val="standardContextual"/>
        </w:rPr>
        <w:t>行动方案（2024-2026年）</w:t>
      </w:r>
    </w:p>
    <w:p w14:paraId="2540E43C">
      <w:pPr>
        <w:widowControl/>
        <w:shd w:val="clear" w:color="auto" w:fill="FFFFFF"/>
        <w:spacing w:beforeAutospacing="0" w:afterAutospacing="0" w:line="580" w:lineRule="exact"/>
        <w:jc w:val="center"/>
        <w:rPr>
          <w:rFonts w:ascii="宋体" w:hAnsi="宋体" w:eastAsia="宋体" w:cs="方正小标宋简体"/>
          <w:kern w:val="0"/>
          <w:sz w:val="44"/>
          <w:szCs w:val="44"/>
          <w:shd w:val="clear" w:color="auto" w:fill="FFFFFF"/>
          <w:lang w:val="en-US" w:eastAsia="zh-CN" w:bidi="ar-SA"/>
          <w14:ligatures w14:val="none"/>
        </w:rPr>
      </w:pPr>
    </w:p>
    <w:p w14:paraId="55064D69">
      <w:pPr>
        <w:keepNext w:val="0"/>
        <w:keepLines w:val="0"/>
        <w:pageBreakBefore w:val="0"/>
        <w:kinsoku/>
        <w:wordWrap/>
        <w:overflowPunct/>
        <w:topLinePunct w:val="0"/>
        <w:autoSpaceDE/>
        <w:autoSpaceDN/>
        <w:bidi w:val="0"/>
        <w:adjustRightInd/>
        <w:snapToGrid/>
        <w:spacing w:line="580" w:lineRule="exact"/>
        <w:ind w:firstLine="640" w:firstLineChars="200"/>
        <w:jc w:val="both"/>
        <w:textAlignment w:val="auto"/>
        <w:rPr>
          <w:rFonts w:ascii="仿宋_GB2312" w:hAnsi="仿宋_GB2312" w:eastAsia="仿宋_GB2312" w:cs="仿宋_GB2312"/>
          <w:kern w:val="0"/>
          <w:sz w:val="32"/>
          <w:szCs w:val="32"/>
          <w:shd w:val="clear" w:color="auto" w:fill="FFFFFF"/>
          <w14:ligatures w14:val="none"/>
        </w:rPr>
      </w:pPr>
      <w:r>
        <w:rPr>
          <w:rFonts w:hint="eastAsia" w:ascii="仿宋_GB2312" w:hAnsi="仿宋_GB2312" w:eastAsia="仿宋_GB2312" w:cs="仿宋_GB2312"/>
          <w:kern w:val="0"/>
          <w:sz w:val="32"/>
          <w:szCs w:val="32"/>
          <w:shd w:val="clear" w:color="auto" w:fill="FFFFFF"/>
          <w14:ligatures w14:val="none"/>
        </w:rPr>
        <w:t>为做大做强全区陶瓷产业，推进全区陶瓷产业基础高级化和产业链现代化，实现全区陶瓷产业高质量发展，特制定本行动方案。</w:t>
      </w:r>
    </w:p>
    <w:p w14:paraId="724745A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黑体" w:hAnsi="黑体" w:eastAsia="黑体" w:cs="黑体"/>
          <w:b w:val="0"/>
          <w:bCs/>
          <w:kern w:val="0"/>
          <w:sz w:val="32"/>
          <w:szCs w:val="32"/>
          <w:lang w:val="en-US" w:eastAsia="zh-CN" w:bidi="ar-SA"/>
          <w14:ligatures w14:val="none"/>
        </w:rPr>
      </w:pPr>
      <w:r>
        <w:rPr>
          <w:rFonts w:hint="eastAsia" w:ascii="黑体" w:hAnsi="黑体" w:eastAsia="黑体" w:cs="黑体"/>
          <w:b w:val="0"/>
          <w:bCs/>
          <w:kern w:val="2"/>
          <w:sz w:val="32"/>
          <w:szCs w:val="32"/>
          <w:shd w:val="clear" w:color="auto" w:fill="FFFFFF"/>
          <w:lang w:val="en-US" w:eastAsia="zh-CN" w:bidi="ar-SA"/>
          <w14:ligatures w14:val="standardContextual"/>
        </w:rPr>
        <w:t xml:space="preserve">一、总体要求 </w:t>
      </w:r>
    </w:p>
    <w:p w14:paraId="504DA6D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shd w:val="clear" w:color="auto" w:fill="FFFFFF"/>
          <w:lang w:val="en-US" w:eastAsia="zh-CN" w:bidi="ar-SA"/>
          <w14:ligatures w14:val="none"/>
        </w:rPr>
        <w:t>以习近平新时代中国特色社会主义思想为指导，全面贯彻党的二十大和习近平总书记考察江西重要讲话精神，贯彻落实全国、全省新型工业化推进大会精神，聚焦“走在前、勇争先、善作为”目标要求，以景德镇国家陶瓷文化传承创新试验区建设为统领，充分挖掘昌江区基础特色优势，按照文化创意陶瓷日用化规模化、</w:t>
      </w:r>
      <w:r>
        <w:rPr>
          <w:rFonts w:hint="eastAsia" w:ascii="仿宋_GB2312" w:hAnsi="仿宋_GB2312" w:eastAsia="仿宋_GB2312" w:cs="仿宋_GB2312"/>
          <w:kern w:val="0"/>
          <w:sz w:val="32"/>
          <w:szCs w:val="32"/>
          <w:lang w:val="en-US" w:eastAsia="zh-CN" w:bidi="ar-SA"/>
          <w14:ligatures w14:val="none"/>
        </w:rPr>
        <w:t>传统陶瓷文化化、先进陶瓷错位化的发展思路</w:t>
      </w:r>
      <w:r>
        <w:rPr>
          <w:rFonts w:hint="eastAsia" w:ascii="仿宋_GB2312" w:hAnsi="仿宋_GB2312" w:eastAsia="仿宋_GB2312" w:cs="仿宋_GB2312"/>
          <w:kern w:val="0"/>
          <w:sz w:val="32"/>
          <w:szCs w:val="32"/>
          <w:shd w:val="clear" w:color="auto" w:fill="FFFFFF"/>
          <w:lang w:val="en-US" w:eastAsia="zh-CN" w:bidi="ar-SA"/>
          <w14:ligatures w14:val="none"/>
        </w:rPr>
        <w:t>，</w:t>
      </w:r>
      <w:r>
        <w:rPr>
          <w:rFonts w:hint="eastAsia" w:ascii="仿宋_GB2312" w:hAnsi="仿宋_GB2312" w:eastAsia="仿宋_GB2312" w:cs="仿宋_GB2312"/>
          <w:kern w:val="0"/>
          <w:sz w:val="32"/>
          <w:szCs w:val="32"/>
          <w:lang w:val="en-US" w:eastAsia="zh-CN" w:bidi="ar-SA"/>
          <w14:ligatures w14:val="none"/>
        </w:rPr>
        <w:t>坚持高端引进与内生培育并举，进一步做强产业链、优化价值链、提升创新链、融通供应链，加快构建体现昌江特色和优势的陶瓷产业链，为“把‘千年瓷都’这张靓丽的名片擦得更亮”贡献昌江力量。</w:t>
      </w:r>
    </w:p>
    <w:p w14:paraId="01206CA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到2026年，陶瓷产业链规模以上企业力争达到30家，营业收入突破10</w:t>
      </w:r>
      <w:r>
        <w:rPr>
          <w:rFonts w:ascii="仿宋_GB2312" w:hAnsi="仿宋_GB2312" w:eastAsia="仿宋_GB2312" w:cs="仿宋_GB2312"/>
          <w:kern w:val="0"/>
          <w:sz w:val="32"/>
          <w:szCs w:val="32"/>
          <w:lang w:val="en-US" w:eastAsia="zh-CN" w:bidi="ar-SA"/>
          <w14:ligatures w14:val="none"/>
        </w:rPr>
        <w:t>0亿元。</w:t>
      </w:r>
    </w:p>
    <w:p w14:paraId="6A19283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黑体" w:hAnsi="黑体" w:eastAsia="黑体" w:cs="黑体"/>
          <w:b w:val="0"/>
          <w:bCs/>
          <w:kern w:val="0"/>
          <w:sz w:val="32"/>
          <w:szCs w:val="32"/>
          <w:shd w:val="clear" w:color="auto" w:fill="FFFFFF"/>
          <w:lang w:val="en-US" w:eastAsia="zh-CN" w:bidi="ar-SA"/>
          <w14:ligatures w14:val="none"/>
        </w:rPr>
      </w:pPr>
      <w:r>
        <w:rPr>
          <w:rFonts w:hint="eastAsia" w:ascii="黑体" w:hAnsi="黑体" w:eastAsia="黑体" w:cs="黑体"/>
          <w:b w:val="0"/>
          <w:bCs/>
          <w:kern w:val="2"/>
          <w:sz w:val="32"/>
          <w:szCs w:val="32"/>
          <w:shd w:val="clear" w:color="auto" w:fill="FFFFFF"/>
          <w:lang w:val="en-US" w:eastAsia="zh-CN" w:bidi="ar-SA"/>
          <w14:ligatures w14:val="standardContextual"/>
        </w:rPr>
        <w:t>二、主要举措</w:t>
      </w:r>
    </w:p>
    <w:p w14:paraId="2E62212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3" w:firstLineChars="200"/>
        <w:jc w:val="both"/>
        <w:textAlignment w:val="auto"/>
        <w:rPr>
          <w:rFonts w:ascii="仿宋_GB2312" w:hAnsi="仿宋_GB2312" w:eastAsia="仿宋_GB2312" w:cs="仿宋_GB2312"/>
          <w:kern w:val="0"/>
          <w:sz w:val="32"/>
          <w:szCs w:val="32"/>
          <w:lang w:val="en-US" w:eastAsia="zh-CN" w:bidi="ar-SA"/>
          <w14:ligatures w14:val="none"/>
        </w:rPr>
      </w:pPr>
      <w:r>
        <w:rPr>
          <w:rFonts w:hint="eastAsia" w:ascii="楷体" w:hAnsi="楷体" w:eastAsia="楷体" w:cs="仿宋_GB2312"/>
          <w:b/>
          <w:bCs/>
          <w:kern w:val="0"/>
          <w:sz w:val="32"/>
          <w:szCs w:val="32"/>
          <w:lang w:val="en-US" w:eastAsia="zh-CN" w:bidi="ar-SA"/>
          <w14:ligatures w14:val="none"/>
        </w:rPr>
        <w:t>（一）做优陶瓷文化创意产业。</w:t>
      </w:r>
      <w:r>
        <w:rPr>
          <w:rFonts w:hint="eastAsia" w:ascii="仿宋_GB2312" w:hAnsi="仿宋_GB2312" w:eastAsia="仿宋_GB2312" w:cs="仿宋_GB2312"/>
          <w:kern w:val="0"/>
          <w:sz w:val="32"/>
          <w:szCs w:val="32"/>
          <w:lang w:val="en-US" w:eastAsia="zh-CN" w:bidi="ar-SA"/>
          <w14:ligatures w14:val="none"/>
        </w:rPr>
        <w:t>以“宁封窑”“陶青台”等为引领，加快陶瓷文化创意设计产业集聚，打造陶瓷文化创意发展平台。充分利用市陶瓷研究院、古窑、鼎窑等院所和企业优势，建设陶瓷文化创意基地，促进陶瓷文化创意中小企业集聚发展。深化与景德镇陶瓷大学和景德镇学院合作，打造昌江区高端陶瓷艺术一条街，引进和发展陶瓷文化创意企业及艺术家工作室，吸引陶瓷人才集聚昌江。探索创办陶瓷创意设计大赛，鼓励组建文化创意和设计服务类产业集团或产业联盟，大力发展陶瓷工业设计，推进工业设计与制造业深度融合。积极发展文创产品研发和创意设计，推动陶瓷设计与品牌</w:t>
      </w:r>
      <w:r>
        <w:rPr>
          <w:rFonts w:hint="eastAsia" w:ascii="仿宋_GB2312" w:hAnsi="仿宋_GB2312" w:eastAsia="仿宋_GB2312" w:cs="仿宋_GB2312"/>
          <w:kern w:val="0"/>
          <w:sz w:val="32"/>
          <w:szCs w:val="32"/>
          <w:highlight w:val="none"/>
          <w:lang w:val="en-US" w:eastAsia="zh-CN" w:bidi="ar-SA"/>
          <w14:ligatures w14:val="none"/>
        </w:rPr>
        <w:t>塑造</w:t>
      </w:r>
      <w:r>
        <w:rPr>
          <w:rFonts w:hint="eastAsia" w:ascii="仿宋_GB2312" w:hAnsi="仿宋_GB2312" w:eastAsia="仿宋_GB2312" w:cs="仿宋_GB2312"/>
          <w:kern w:val="0"/>
          <w:sz w:val="32"/>
          <w:szCs w:val="32"/>
          <w:lang w:val="en-US" w:eastAsia="zh-CN" w:bidi="ar-SA"/>
          <w14:ligatures w14:val="none"/>
        </w:rPr>
        <w:t>相融合。</w:t>
      </w:r>
    </w:p>
    <w:p w14:paraId="103CE16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3" w:firstLineChars="200"/>
        <w:jc w:val="both"/>
        <w:textAlignment w:val="auto"/>
        <w:rPr>
          <w:rFonts w:ascii="仿宋_GB2312" w:hAnsi="仿宋_GB2312" w:eastAsia="仿宋_GB2312" w:cs="仿宋_GB2312"/>
          <w:kern w:val="0"/>
          <w:sz w:val="32"/>
          <w:szCs w:val="32"/>
          <w:shd w:val="clear" w:color="auto" w:fill="FFFFFF"/>
          <w:lang w:val="en-US" w:eastAsia="zh-CN" w:bidi="ar-SA"/>
          <w14:ligatures w14:val="none"/>
        </w:rPr>
      </w:pPr>
      <w:r>
        <w:rPr>
          <w:rFonts w:hint="eastAsia" w:ascii="楷体" w:hAnsi="楷体" w:eastAsia="楷体" w:cs="仿宋_GB2312"/>
          <w:b/>
          <w:bCs/>
          <w:kern w:val="0"/>
          <w:sz w:val="32"/>
          <w:szCs w:val="32"/>
          <w:lang w:val="en-US" w:eastAsia="zh-CN" w:bidi="ar-SA"/>
          <w14:ligatures w14:val="none"/>
        </w:rPr>
        <w:t>（二）做精传统陶瓷产业。</w:t>
      </w:r>
      <w:r>
        <w:rPr>
          <w:rFonts w:hint="eastAsia" w:ascii="仿宋_GB2312" w:hAnsi="仿宋_GB2312" w:eastAsia="仿宋_GB2312" w:cs="仿宋_GB2312"/>
          <w:kern w:val="0"/>
          <w:sz w:val="32"/>
          <w:szCs w:val="32"/>
          <w:lang w:val="en-US" w:eastAsia="zh-CN" w:bidi="ar-SA"/>
          <w14:ligatures w14:val="none"/>
        </w:rPr>
        <w:t>加快卡地克陶瓷、名镇瓷毯等传统陶瓷企业转型升级步伐，通过技术改造、工艺改进、设备升级等方式，引导传统陶瓷产业向高端化、智能化、绿色化发展。大力发展中高档日用瓷，支持生产工艺、技术、装备创新和产品艺术化发展。</w:t>
      </w:r>
      <w:r>
        <w:rPr>
          <w:rFonts w:hint="eastAsia" w:ascii="仿宋_GB2312" w:hAnsi="仿宋_GB2312" w:eastAsia="仿宋_GB2312" w:cs="仿宋_GB2312"/>
          <w:kern w:val="0"/>
          <w:sz w:val="32"/>
          <w:szCs w:val="32"/>
          <w:shd w:val="clear" w:color="auto" w:fill="FFFFFF"/>
          <w:lang w:val="en-US" w:eastAsia="zh-CN" w:bidi="ar-SA"/>
          <w14:ligatures w14:val="none"/>
        </w:rPr>
        <w:t>以轻质化、环保化、固体废弃物利用为方向，鼓励支持建筑陶瓷企业开发新型、绿色陶瓷产品</w:t>
      </w:r>
      <w:r>
        <w:rPr>
          <w:rFonts w:hint="eastAsia" w:ascii="仿宋_GB2312" w:hAnsi="仿宋_GB2312" w:eastAsia="仿宋_GB2312" w:cs="仿宋_GB2312"/>
          <w:kern w:val="0"/>
          <w:sz w:val="32"/>
          <w:szCs w:val="32"/>
          <w:lang w:val="en-US" w:eastAsia="zh-CN" w:bidi="ar-SA"/>
          <w14:ligatures w14:val="none"/>
        </w:rPr>
        <w:t>。</w:t>
      </w:r>
    </w:p>
    <w:p w14:paraId="233EFE5A">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3" w:firstLineChars="200"/>
        <w:jc w:val="both"/>
        <w:textAlignment w:val="auto"/>
        <w:rPr>
          <w:rFonts w:ascii="仿宋_GB2312" w:hAnsi="仿宋_GB2312" w:eastAsia="仿宋_GB2312" w:cs="仿宋_GB2312"/>
          <w:kern w:val="0"/>
          <w:sz w:val="32"/>
          <w:szCs w:val="32"/>
          <w:lang w:val="en-US" w:eastAsia="zh-CN" w:bidi="ar-SA"/>
          <w14:ligatures w14:val="none"/>
        </w:rPr>
      </w:pPr>
      <w:r>
        <w:rPr>
          <w:rFonts w:hint="eastAsia" w:ascii="楷体" w:hAnsi="楷体" w:eastAsia="楷体" w:cs="仿宋_GB2312"/>
          <w:b/>
          <w:bCs/>
          <w:kern w:val="0"/>
          <w:sz w:val="32"/>
          <w:szCs w:val="32"/>
          <w:lang w:val="en-US" w:eastAsia="zh-CN" w:bidi="ar-SA"/>
          <w14:ligatures w14:val="none"/>
        </w:rPr>
        <w:t>（三）做大先进陶瓷产业。</w:t>
      </w:r>
      <w:r>
        <w:rPr>
          <w:rFonts w:hint="eastAsia" w:ascii="仿宋_GB2312" w:hAnsi="仿宋_GB2312" w:eastAsia="仿宋_GB2312" w:cs="仿宋_GB2312"/>
          <w:kern w:val="0"/>
          <w:sz w:val="32"/>
          <w:szCs w:val="32"/>
          <w:lang w:val="en-US" w:eastAsia="zh-CN" w:bidi="ar-SA"/>
          <w14:ligatures w14:val="none"/>
        </w:rPr>
        <w:t>按照</w:t>
      </w:r>
      <w:r>
        <w:rPr>
          <w:rFonts w:hint="eastAsia" w:ascii="仿宋_GB2312" w:hAnsi="宋体" w:eastAsia="仿宋_GB2312" w:cs="Times New Roman"/>
          <w:kern w:val="0"/>
          <w:sz w:val="32"/>
          <w:szCs w:val="32"/>
          <w:lang w:val="en-US" w:eastAsia="zh-CN" w:bidi="ar-SA"/>
          <w14:ligatures w14:val="none"/>
        </w:rPr>
        <w:t>“产业配套，错位发展”</w:t>
      </w:r>
      <w:r>
        <w:rPr>
          <w:rFonts w:hint="eastAsia" w:ascii="仿宋_GB2312" w:hAnsi="仿宋_GB2312" w:eastAsia="仿宋_GB2312" w:cs="仿宋_GB2312"/>
          <w:kern w:val="0"/>
          <w:sz w:val="32"/>
          <w:szCs w:val="32"/>
          <w:lang w:val="en-US" w:eastAsia="zh-CN" w:bidi="ar-SA"/>
          <w14:ligatures w14:val="none"/>
        </w:rPr>
        <w:t>原则，聚焦电子陶瓷、生物陶瓷，高温结构陶瓷等细分方向，成为细分方向的“小巨人”。推动先进陶瓷产业链延伸，招引一批重大项目、壮大一批市场主体、突破一批关键技术、打造一批重点产品。坚持先进陶瓷向中高端发展，推动单一结构陶瓷向复合多功能陶瓷转化。引导、鼓励先进陶瓷企业与通信等现代电子设备制造企业开展高水平合作，发展器件、部件乃至整机装置。引导、鼓励先进陶瓷企业与环保制备企业开展高水平合作，发展以陶瓷膜、蜂窝陶瓷为关键材料的污水、废气处理成套装置。</w:t>
      </w:r>
    </w:p>
    <w:p w14:paraId="5F6E857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3" w:firstLineChars="200"/>
        <w:jc w:val="both"/>
        <w:textAlignment w:val="auto"/>
        <w:rPr>
          <w:rFonts w:ascii="仿宋_GB2312" w:hAnsi="仿宋_GB2312" w:eastAsia="仿宋_GB2312" w:cs="仿宋_GB2312"/>
          <w:kern w:val="0"/>
          <w:sz w:val="32"/>
          <w:szCs w:val="32"/>
          <w:shd w:val="clear" w:color="auto" w:fill="FFFFFF"/>
          <w:lang w:val="en-US" w:eastAsia="zh-CN" w:bidi="ar-SA"/>
          <w14:ligatures w14:val="none"/>
        </w:rPr>
      </w:pPr>
      <w:r>
        <w:rPr>
          <w:rFonts w:hint="eastAsia" w:ascii="楷体" w:hAnsi="楷体" w:eastAsia="楷体" w:cs="仿宋_GB2312"/>
          <w:b/>
          <w:bCs/>
          <w:kern w:val="0"/>
          <w:sz w:val="32"/>
          <w:szCs w:val="32"/>
          <w:lang w:val="en-US" w:eastAsia="zh-CN" w:bidi="ar-SA"/>
          <w14:ligatures w14:val="none"/>
        </w:rPr>
        <w:t>（四）健全提升陶瓷配套产业。</w:t>
      </w:r>
      <w:r>
        <w:rPr>
          <w:rFonts w:ascii="仿宋_GB2312" w:hAnsi="仿宋_GB2312" w:eastAsia="仿宋_GB2312" w:cs="仿宋_GB2312"/>
          <w:kern w:val="0"/>
          <w:sz w:val="32"/>
          <w:szCs w:val="32"/>
          <w:lang w:val="en-US" w:eastAsia="zh-CN" w:bidi="ar-SA"/>
          <w14:ligatures w14:val="none"/>
        </w:rPr>
        <w:t>积极引导中小企业走专业化配套的发展道路，向陶瓷</w:t>
      </w:r>
      <w:r>
        <w:rPr>
          <w:rFonts w:hint="eastAsia" w:ascii="仿宋_GB2312" w:hAnsi="仿宋_GB2312" w:eastAsia="仿宋_GB2312" w:cs="仿宋_GB2312"/>
          <w:kern w:val="0"/>
          <w:sz w:val="32"/>
          <w:szCs w:val="32"/>
          <w:lang w:val="en-US" w:eastAsia="zh-CN" w:bidi="ar-SA"/>
          <w14:ligatures w14:val="none"/>
        </w:rPr>
        <w:t>原辅材料</w:t>
      </w:r>
      <w:r>
        <w:rPr>
          <w:rFonts w:ascii="仿宋_GB2312" w:hAnsi="仿宋_GB2312" w:eastAsia="仿宋_GB2312" w:cs="仿宋_GB2312"/>
          <w:kern w:val="0"/>
          <w:sz w:val="32"/>
          <w:szCs w:val="32"/>
          <w:lang w:val="en-US" w:eastAsia="zh-CN" w:bidi="ar-SA"/>
          <w14:ligatures w14:val="none"/>
        </w:rPr>
        <w:t>、陶瓷机械、窑炉、包装、物流等配套产业发展，形成龙头企业引领产业发展和带动中小企业配套的新格局，实现资源的优化配置。</w:t>
      </w:r>
      <w:r>
        <w:rPr>
          <w:rFonts w:hint="eastAsia" w:ascii="仿宋_GB2312" w:hAnsi="仿宋_GB2312" w:eastAsia="仿宋_GB2312" w:cs="仿宋_GB2312"/>
          <w:kern w:val="0"/>
          <w:sz w:val="32"/>
          <w:szCs w:val="32"/>
          <w:shd w:val="clear" w:color="auto" w:fill="FFFFFF"/>
          <w:lang w:val="en-US" w:eastAsia="zh-CN" w:bidi="ar-SA"/>
          <w14:ligatures w14:val="none"/>
        </w:rPr>
        <w:t>鼓励陶瓷制造企业联合组建陶瓷原料制备企业，提高陶瓷原料生产加工标准化、专业化水平。通过引进、租赁、联合组建等方式，支持陶瓷装备制造企业、陶瓷装备服务企业发展壮大。推进陶瓷制造业与现代服务业深度融合，整合各种积极因素和公共资源，搭建技术服务、营销策划、金融服务、现代物流、人才培训等公共服务平台，努力引进一批服务型制造企业落户昌江。</w:t>
      </w:r>
    </w:p>
    <w:p w14:paraId="3B50D0A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3" w:firstLineChars="200"/>
        <w:jc w:val="both"/>
        <w:textAlignment w:val="auto"/>
        <w:rPr>
          <w:rFonts w:ascii="仿宋_GB2312" w:hAnsi="仿宋_GB2312" w:eastAsia="仿宋_GB2312" w:cs="仿宋_GB2312"/>
          <w:kern w:val="0"/>
          <w:sz w:val="32"/>
          <w:szCs w:val="32"/>
          <w:lang w:val="en-US" w:eastAsia="zh-CN" w:bidi="ar-SA"/>
          <w14:ligatures w14:val="none"/>
        </w:rPr>
      </w:pPr>
      <w:r>
        <w:rPr>
          <w:rFonts w:hint="eastAsia" w:ascii="楷体" w:hAnsi="楷体" w:eastAsia="楷体" w:cs="仿宋_GB2312"/>
          <w:b/>
          <w:bCs/>
          <w:kern w:val="0"/>
          <w:sz w:val="32"/>
          <w:szCs w:val="32"/>
          <w:lang w:val="en-US" w:eastAsia="zh-CN" w:bidi="ar-SA"/>
          <w14:ligatures w14:val="none"/>
        </w:rPr>
        <w:t>（五）积极探索陶瓷新业态。</w:t>
      </w:r>
      <w:r>
        <w:rPr>
          <w:rFonts w:hint="eastAsia" w:ascii="仿宋_GB2312" w:hAnsi="仿宋_GB2312" w:eastAsia="仿宋_GB2312" w:cs="仿宋_GB2312"/>
          <w:kern w:val="0"/>
          <w:sz w:val="32"/>
          <w:szCs w:val="32"/>
          <w:lang w:val="en-US" w:eastAsia="zh-CN" w:bidi="ar-SA"/>
          <w14:ligatures w14:val="none"/>
        </w:rPr>
        <w:t>推动中国陶瓷城、锦绣昌南、豪德贸易广场、三河购淘宝村等线上线下贸易平台优化升级。高标准搭建好平台，建强网络，打造优质陶瓷品牌。鼓励陶瓷龙头企业自建电子商务平台，与国内外知名陶瓷企业、优质电商运营商进行深度合作，努力实现供应链电子交易、在线供应链批发等业态创新。通过举办线上招商会、商家直播、电商优品会、跨境电商大会、电商竞赛等活动，推动和促进我区“陶瓷</w:t>
      </w:r>
      <w:r>
        <w:rPr>
          <w:rFonts w:ascii="仿宋_GB2312" w:hAnsi="仿宋_GB2312" w:eastAsia="仿宋_GB2312" w:cs="仿宋_GB2312"/>
          <w:kern w:val="0"/>
          <w:sz w:val="32"/>
          <w:szCs w:val="32"/>
          <w:lang w:val="en-US" w:eastAsia="zh-CN" w:bidi="ar-SA"/>
          <w14:ligatures w14:val="none"/>
        </w:rPr>
        <w:t>+电商”线上线下资源全面对接和深度融合，在“互联网+传统产业”领域探索符合地域实际的“深度垂直+行业生态”特色发展模式。加快发展数字陶瓷产业,</w:t>
      </w:r>
      <w:r>
        <w:rPr>
          <w:rFonts w:hint="eastAsia" w:ascii="仿宋_GB2312" w:hAnsi="仿宋_GB2312" w:eastAsia="仿宋_GB2312" w:cs="仿宋_GB2312"/>
          <w:kern w:val="0"/>
          <w:sz w:val="32"/>
          <w:szCs w:val="32"/>
          <w:lang w:val="en-US" w:eastAsia="zh-CN" w:bidi="ar-SA"/>
          <w14:ligatures w14:val="none"/>
        </w:rPr>
        <w:t>加强专业团队引进，推进瓷都礼物、霸龙科技项目建设，打造陶瓷电商直播集聚区。</w:t>
      </w:r>
    </w:p>
    <w:p w14:paraId="2645E9D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eastAsia" w:ascii="黑体" w:hAnsi="黑体" w:eastAsia="黑体" w:cs="黑体"/>
          <w:b w:val="0"/>
          <w:bCs/>
          <w:kern w:val="0"/>
          <w:sz w:val="32"/>
          <w:szCs w:val="32"/>
          <w:shd w:val="clear" w:color="auto" w:fill="FFFFFF"/>
          <w:lang w:val="en-US" w:eastAsia="zh-CN" w:bidi="ar-SA"/>
          <w14:ligatures w14:val="none"/>
        </w:rPr>
      </w:pPr>
      <w:r>
        <w:rPr>
          <w:rFonts w:hint="eastAsia" w:ascii="黑体" w:hAnsi="黑体" w:eastAsia="黑体" w:cs="黑体"/>
          <w:b w:val="0"/>
          <w:bCs/>
          <w:kern w:val="2"/>
          <w:sz w:val="32"/>
          <w:szCs w:val="32"/>
          <w:shd w:val="clear" w:color="auto" w:fill="FFFFFF"/>
          <w:lang w:val="en-US" w:eastAsia="zh-CN" w:bidi="ar-SA"/>
          <w14:ligatures w14:val="standardContextual"/>
        </w:rPr>
        <w:t>三、组织实施</w:t>
      </w:r>
    </w:p>
    <w:p w14:paraId="58C1908A">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3" w:firstLineChars="200"/>
        <w:jc w:val="both"/>
        <w:textAlignment w:val="auto"/>
        <w:rPr>
          <w:rFonts w:hint="eastAsia" w:ascii="仿宋_GB2312" w:hAnsi="仿宋_GB2312" w:eastAsia="仿宋_GB2312" w:cs="仿宋_GB2312"/>
          <w:kern w:val="0"/>
          <w:sz w:val="32"/>
          <w:szCs w:val="32"/>
          <w:lang w:val="en-US" w:eastAsia="zh-CN" w:bidi="ar-SA"/>
          <w14:ligatures w14:val="none"/>
        </w:rPr>
      </w:pPr>
      <w:r>
        <w:rPr>
          <w:rFonts w:hint="eastAsia" w:ascii="楷体" w:hAnsi="楷体" w:eastAsia="楷体" w:cs="楷体"/>
          <w:b/>
          <w:kern w:val="2"/>
          <w:sz w:val="32"/>
          <w:szCs w:val="32"/>
          <w:shd w:val="clear" w:color="auto" w:fill="FFFFFF"/>
          <w:lang w:val="en-US" w:eastAsia="zh-CN" w:bidi="ar-SA"/>
          <w14:ligatures w14:val="standardContextual"/>
        </w:rPr>
        <w:t>（</w:t>
      </w:r>
      <w:r>
        <w:rPr>
          <w:rFonts w:hint="eastAsia" w:ascii="楷体" w:hAnsi="楷体" w:eastAsia="楷体" w:cs="仿宋_GB2312"/>
          <w:b/>
          <w:kern w:val="0"/>
          <w:sz w:val="32"/>
          <w:szCs w:val="32"/>
          <w:lang w:val="en-US" w:eastAsia="zh-CN" w:bidi="ar-SA"/>
          <w14:ligatures w14:val="none"/>
        </w:rPr>
        <w:t>一）加强组织领导。</w:t>
      </w:r>
      <w:r>
        <w:rPr>
          <w:rFonts w:hint="eastAsia" w:ascii="仿宋_GB2312" w:hAnsi="仿宋_GB2312" w:eastAsia="仿宋_GB2312" w:cs="仿宋_GB2312"/>
          <w:kern w:val="0"/>
          <w:sz w:val="32"/>
          <w:szCs w:val="32"/>
          <w:lang w:val="en-US" w:eastAsia="zh-CN" w:bidi="ar-SA"/>
          <w14:ligatures w14:val="none"/>
        </w:rPr>
        <w:t>全面落实《关于实施昌江区产业链链长制工作方案》，深入实施陶瓷产业链链长制，加强全产业链发展谋划和工作落实。构建全产业链多方协同联动工作机制，积极营造产业发展合力。</w:t>
      </w:r>
    </w:p>
    <w:p w14:paraId="2291075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3" w:firstLineChars="200"/>
        <w:jc w:val="both"/>
        <w:textAlignment w:val="auto"/>
        <w:rPr>
          <w:rFonts w:ascii="仿宋_GB2312" w:hAnsi="仿宋_GB2312" w:eastAsia="仿宋_GB2312" w:cs="仿宋_GB2312"/>
          <w:kern w:val="0"/>
          <w:sz w:val="32"/>
          <w:szCs w:val="32"/>
          <w:lang w:val="en-US" w:eastAsia="zh-CN" w:bidi="ar-SA"/>
          <w14:ligatures w14:val="none"/>
        </w:rPr>
      </w:pPr>
      <w:r>
        <w:rPr>
          <w:rFonts w:hint="eastAsia" w:ascii="楷体" w:hAnsi="楷体" w:eastAsia="楷体" w:cs="仿宋_GB2312"/>
          <w:b/>
          <w:kern w:val="0"/>
          <w:sz w:val="32"/>
          <w:szCs w:val="32"/>
          <w:lang w:val="en-US" w:eastAsia="zh-CN" w:bidi="ar-SA"/>
          <w14:ligatures w14:val="none"/>
        </w:rPr>
        <w:t>（二）强化政策支持。</w:t>
      </w:r>
      <w:r>
        <w:rPr>
          <w:rFonts w:hint="eastAsia" w:ascii="仿宋_GB2312" w:hAnsi="仿宋_GB2312" w:eastAsia="仿宋_GB2312" w:cs="仿宋_GB2312"/>
          <w:kern w:val="0"/>
          <w:sz w:val="32"/>
          <w:szCs w:val="32"/>
          <w:lang w:val="en-US" w:eastAsia="zh-CN" w:bidi="ar-SA"/>
          <w14:ligatures w14:val="none"/>
        </w:rPr>
        <w:t>围绕陶瓷产业人才建设、研发创新等发展重点，制定针对性政策；聚焦发展重点，加强资源整合和要素集聚，充分发挥陶瓷产业发展专项资金作用，引导各类资源要素向产业链上下游集聚，增强产业链政策实施的整体效能。</w:t>
      </w:r>
    </w:p>
    <w:p w14:paraId="0DDA83D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firstLine="643" w:firstLineChars="200"/>
        <w:jc w:val="both"/>
        <w:textAlignment w:val="auto"/>
        <w:rPr>
          <w:rFonts w:ascii="仿宋_GB2312" w:hAnsi="仿宋_GB2312" w:eastAsia="仿宋_GB2312" w:cs="仿宋_GB2312"/>
          <w:kern w:val="0"/>
          <w:sz w:val="32"/>
          <w:szCs w:val="32"/>
          <w:lang w:val="en-US" w:eastAsia="zh-CN" w:bidi="ar-SA"/>
          <w14:ligatures w14:val="none"/>
        </w:rPr>
      </w:pPr>
      <w:r>
        <w:rPr>
          <w:rFonts w:hint="eastAsia" w:ascii="楷体" w:hAnsi="楷体" w:eastAsia="楷体" w:cs="仿宋_GB2312"/>
          <w:b/>
          <w:kern w:val="0"/>
          <w:sz w:val="32"/>
          <w:szCs w:val="32"/>
          <w:lang w:val="en-US" w:eastAsia="zh-CN" w:bidi="ar-SA"/>
          <w14:ligatures w14:val="none"/>
        </w:rPr>
        <w:t>（三）提升惠企服务。</w:t>
      </w:r>
      <w:r>
        <w:rPr>
          <w:rFonts w:hint="eastAsia" w:ascii="仿宋_GB2312" w:hAnsi="仿宋_GB2312" w:eastAsia="仿宋_GB2312" w:cs="仿宋_GB2312"/>
          <w:kern w:val="0"/>
          <w:sz w:val="32"/>
          <w:szCs w:val="32"/>
          <w:lang w:val="en-US" w:eastAsia="zh-CN" w:bidi="ar-SA"/>
          <w14:ligatures w14:val="none"/>
        </w:rPr>
        <w:t>开展驻企特派员大走访行动，进一步加强政策宣传，加大帮扶企业力度。加强对重点企业、重点项目的调度，定期协调解决产业链发展过程中遇到的各类问题。持续开展降成本、优环境各项活动，帮助企业减轻发展压力，努力营造公平、公正、透明的发展环境。</w:t>
      </w:r>
    </w:p>
    <w:p w14:paraId="735FD162">
      <w:pPr>
        <w:keepNext w:val="0"/>
        <w:keepLines w:val="0"/>
        <w:pageBreakBefore w:val="0"/>
        <w:widowControl/>
        <w:shd w:val="clear" w:color="auto" w:fill="FFFFFF"/>
        <w:kinsoku/>
        <w:wordWrap/>
        <w:overflowPunct/>
        <w:topLinePunct w:val="0"/>
        <w:autoSpaceDE/>
        <w:autoSpaceDN/>
        <w:bidi w:val="0"/>
        <w:adjustRightInd/>
        <w:snapToGrid/>
        <w:spacing w:beforeAutospacing="0" w:after="469" w:afterLines="150" w:afterAutospacing="0" w:line="580" w:lineRule="exact"/>
        <w:ind w:firstLine="643" w:firstLineChars="200"/>
        <w:jc w:val="both"/>
        <w:textAlignment w:val="auto"/>
        <w:rPr>
          <w:rFonts w:hint="eastAsia" w:ascii="仿宋_GB2312" w:hAnsi="黑体" w:eastAsia="仿宋_GB2312"/>
          <w:sz w:val="32"/>
          <w:szCs w:val="32"/>
          <w:lang w:eastAsia="zh-CN"/>
        </w:rPr>
      </w:pPr>
      <w:r>
        <w:rPr>
          <w:rFonts w:hint="eastAsia" w:ascii="楷体" w:hAnsi="楷体" w:eastAsia="楷体" w:cs="仿宋_GB2312"/>
          <w:b/>
          <w:kern w:val="0"/>
          <w:sz w:val="32"/>
          <w:szCs w:val="32"/>
          <w:lang w:val="en-US" w:eastAsia="zh-CN" w:bidi="ar-SA"/>
          <w14:ligatures w14:val="none"/>
        </w:rPr>
        <w:t>（四）做好宣传推广。</w:t>
      </w:r>
      <w:r>
        <w:rPr>
          <w:rFonts w:hint="eastAsia" w:ascii="仿宋_GB2312" w:hAnsi="仿宋_GB2312" w:eastAsia="仿宋_GB2312" w:cs="仿宋_GB2312"/>
          <w:kern w:val="0"/>
          <w:sz w:val="32"/>
          <w:szCs w:val="32"/>
          <w:lang w:val="en-US" w:eastAsia="zh-CN" w:bidi="ar-SA"/>
          <w14:ligatures w14:val="none"/>
        </w:rPr>
        <w:t>充分发挥新闻媒体作用，加强对产业链龙头企业、重点集群和重点项目成功经验的宣传报道，凝聚推动产业链发展的共识合力。发挥行业协会、产业联盟等第三方机构桥梁纽带作用，推动陶瓷企业与国内外龙头企业、相关组织机构的交流合作，提升发展水平。</w:t>
      </w:r>
    </w:p>
    <w:p w14:paraId="4A63848C">
      <w:pPr>
        <w:pStyle w:val="38"/>
        <w:spacing w:line="560" w:lineRule="exact"/>
        <w:jc w:val="both"/>
        <w:rPr>
          <w:rFonts w:hint="eastAsia" w:ascii="仿宋_GB2312" w:hAnsi="黑体" w:eastAsia="仿宋_GB2312"/>
          <w:sz w:val="32"/>
          <w:szCs w:val="32"/>
          <w:lang w:eastAsia="zh-CN"/>
        </w:rPr>
      </w:pPr>
    </w:p>
    <w:p w14:paraId="5B700AC5">
      <w:pPr>
        <w:pStyle w:val="38"/>
        <w:spacing w:line="560" w:lineRule="exact"/>
        <w:jc w:val="both"/>
        <w:rPr>
          <w:rFonts w:hint="eastAsia" w:ascii="仿宋_GB2312" w:hAnsi="黑体" w:eastAsia="仿宋_GB2312"/>
          <w:sz w:val="32"/>
          <w:szCs w:val="32"/>
          <w:lang w:eastAsia="zh-CN"/>
        </w:rPr>
      </w:pPr>
    </w:p>
    <w:p w14:paraId="3F8F063F">
      <w:pPr>
        <w:pStyle w:val="38"/>
        <w:spacing w:line="560" w:lineRule="exact"/>
        <w:jc w:val="both"/>
        <w:rPr>
          <w:rFonts w:hint="eastAsia" w:ascii="仿宋_GB2312" w:hAnsi="黑体" w:eastAsia="仿宋_GB2312"/>
          <w:sz w:val="32"/>
          <w:szCs w:val="32"/>
          <w:lang w:eastAsia="zh-CN"/>
        </w:rPr>
      </w:pPr>
    </w:p>
    <w:p w14:paraId="547DE0EB">
      <w:pPr>
        <w:sectPr>
          <w:headerReference r:id="rId20" w:type="default"/>
          <w:footerReference r:id="rId22" w:type="default"/>
          <w:headerReference r:id="rId21" w:type="even"/>
          <w:footerReference r:id="rId23" w:type="even"/>
          <w:pgSz w:w="11906" w:h="16838"/>
          <w:pgMar w:top="1440" w:right="1417" w:bottom="1440" w:left="1417" w:header="851" w:footer="992" w:gutter="0"/>
          <w:pgNumType w:fmt="decimal"/>
          <w:cols w:space="425" w:num="1"/>
          <w:rtlGutter w:val="0"/>
          <w:docGrid w:type="lines" w:linePitch="312" w:charSpace="0"/>
        </w:sectPr>
      </w:pPr>
    </w:p>
    <w:p w14:paraId="3D9A6886">
      <w:pPr>
        <w:pStyle w:val="5"/>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hint="eastAsia"/>
          <w:lang w:eastAsia="zh-CN"/>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46</w:t>
      </w:r>
      <w:r>
        <w:rPr>
          <w:rFonts w:hint="eastAsia" w:ascii="方正小标宋简体" w:hAnsi="方正小标宋简体" w:eastAsia="方正小标宋简体" w:cs="方正小标宋简体"/>
          <w:sz w:val="44"/>
          <w:szCs w:val="44"/>
        </w:rPr>
        <w:t>次常务会议召开</w:t>
      </w:r>
    </w:p>
    <w:p w14:paraId="56056AAE">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lang w:eastAsia="zh-CN"/>
        </w:rPr>
      </w:pPr>
      <w:r>
        <w:rPr>
          <w:rFonts w:hint="eastAsia" w:eastAsia="仿宋"/>
          <w:b/>
          <w:bCs/>
          <w:sz w:val="32"/>
          <w:szCs w:val="32"/>
          <w:lang w:eastAsia="zh-CN"/>
        </w:rPr>
        <w:t>伊文斌主持</w:t>
      </w:r>
    </w:p>
    <w:p w14:paraId="639C4F2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5月14日，十一届昌江区政府第46次常务会召开，传达学习习近平总书记近期重要讲话、重要指示精神和党中央、国务院重要会议精神，省、市重要会议精神和省、市领导讲话、指示精神，听取有关工作汇报，研究有关事项。区委副书记、区政府党组书记、区长伊文斌主持会议。</w:t>
      </w:r>
    </w:p>
    <w:p w14:paraId="3849E1A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在中共中央政治局会议上的重要讲话精神。会议强调，要加强学习领会。高度重视，认真学习贯彻，深刻理解“稳中求进、乘势而上，避免前紧后松”的指示要求，切实巩固和增强经济回升向好态势。要抢抓风口机遇。加快专项债申报入库、十万亿设备更新政策和制造业数字化转型的步伐，第一时间动员部署，努力取得实效。要保障发展安全。持续防范化解地方债务，坚决守住不发生系统性风险的底线，特别是针对“建设全国统一大市场，治理地方保护，防止招商引资不当竞争”。</w:t>
      </w:r>
    </w:p>
    <w:p w14:paraId="0E562D9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中央第三生态环境保护督察组督察江西省动员会精神。会议强调，要提高思想认识。切实提高政治站位，加强沟通协调，全力做好配合中央生态环境保护督察各项工作。要加强组织领导。服从联络组统一安排，从严从实做好协调、后勤等配合工作，为督察工作顺利开展创造必要条件。要坚持边督边改。对督察组指出和移交的问题，各有关部门要高度重视，做到“问题不查清不放过、整改不到位不放过、责任不落实不放过、群众不满意不放过”。</w:t>
      </w:r>
    </w:p>
    <w:p w14:paraId="0156EDE1">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市委书记刘锋在2023年度全市综合考核总结暨工业、招商推进大会上的讲话精神。会议强调，要激扬斗志，有则改之，无则加勉，不断积蓄发展新动能。要精准发力，围绕经济运行、项目建设、招商引资、优化营商环境等重点工作，持续抓好调度，确保完成全年目标任务。要大抓落实，以“时时放心不下”的责任感，扎扎实实干事业，一心一意谋发展，把更多精力集中在抓落实、干实事上来。</w:t>
      </w:r>
    </w:p>
    <w:p w14:paraId="58081A4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江西省防范和惩治统计造假、弄虚作假督察工作实施办法》。会议强调，要切实提高政治站位，认真学习贯彻习近平总书记关于统计工作的重要论述，树立和践行正确政绩观，始终坚持“红线”不能踩，“底线”不能越的原则。要发挥统计监督职能，加大统计培训力度，确保统计数据真实完整、及时准确。要严格按照统计法律法规，强化责任意识，认真履职尽责，充分尊重统计客观规律，应统尽统、应纳尽纳，做好经济工作。</w:t>
      </w:r>
    </w:p>
    <w:p w14:paraId="2543E82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审议并原则通过了《昌江区应急管理综合考核办法》《昌江区2024年粮食生产工作实施意见》《2024年度昌江区“三支一扶”高校毕业生招募计划》《关于推动“引客入昌江”旅游发展奖励办法）》；听取了区国资公司、区发展集团相关情况汇报。</w:t>
      </w:r>
    </w:p>
    <w:p w14:paraId="64DA4BB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i w:val="0"/>
          <w:iCs w:val="0"/>
          <w:caps w:val="0"/>
          <w:color w:val="222222"/>
          <w:spacing w:val="8"/>
          <w:kern w:val="0"/>
          <w:sz w:val="32"/>
          <w:szCs w:val="32"/>
          <w:lang w:val="en-US" w:eastAsia="zh-CN" w:bidi="ar-SA"/>
        </w:rPr>
      </w:pPr>
      <w:r>
        <w:rPr>
          <w:rFonts w:hint="eastAsia" w:ascii="仿宋_GB2312" w:hAnsi="仿宋_GB2312" w:eastAsia="仿宋_GB2312" w:cs="仿宋_GB2312"/>
          <w:kern w:val="0"/>
          <w:sz w:val="32"/>
          <w:szCs w:val="32"/>
          <w:lang w:val="en-US" w:eastAsia="zh-CN" w:bidi="ar-SA"/>
          <w14:ligatures w14:val="none"/>
        </w:rPr>
        <w:t>会议还研究了其他事项</w:t>
      </w:r>
      <w:r>
        <w:rPr>
          <w:rFonts w:hint="eastAsia" w:ascii="仿宋" w:hAnsi="仿宋" w:eastAsia="仿宋" w:cs="仿宋"/>
          <w:i w:val="0"/>
          <w:iCs w:val="0"/>
          <w:caps w:val="0"/>
          <w:color w:val="222222"/>
          <w:spacing w:val="8"/>
          <w:kern w:val="0"/>
          <w:sz w:val="32"/>
          <w:szCs w:val="32"/>
          <w:lang w:val="en-US" w:eastAsia="zh-CN" w:bidi="ar-SA"/>
        </w:rPr>
        <w:t>。</w:t>
      </w:r>
    </w:p>
    <w:p w14:paraId="661FAEFA">
      <w:pPr>
        <w:pStyle w:val="25"/>
        <w:rPr>
          <w:rFonts w:hint="eastAsia"/>
        </w:rPr>
      </w:pPr>
    </w:p>
    <w:p w14:paraId="5B25C644">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47</w:t>
      </w:r>
      <w:r>
        <w:rPr>
          <w:rFonts w:hint="eastAsia" w:ascii="方正小标宋简体" w:hAnsi="方正小标宋简体" w:eastAsia="方正小标宋简体" w:cs="方正小标宋简体"/>
          <w:sz w:val="44"/>
          <w:szCs w:val="44"/>
        </w:rPr>
        <w:t>次常务会议召开</w:t>
      </w:r>
    </w:p>
    <w:p w14:paraId="0C34D366">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eastAsia="仿宋"/>
          <w:b/>
          <w:bCs/>
          <w:sz w:val="32"/>
          <w:szCs w:val="32"/>
          <w:lang w:eastAsia="zh-CN"/>
        </w:rPr>
      </w:pPr>
      <w:r>
        <w:rPr>
          <w:rFonts w:hint="eastAsia" w:eastAsia="仿宋"/>
          <w:b/>
          <w:bCs/>
          <w:sz w:val="32"/>
          <w:szCs w:val="32"/>
          <w:lang w:eastAsia="zh-CN"/>
        </w:rPr>
        <w:t>伊文斌主持</w:t>
      </w:r>
    </w:p>
    <w:p w14:paraId="32338C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5月31日，十一届昌江区政府第47次常务会召开，传达学习习近平总书记近期重要讲话、重要指示精神和党中央、国务院重要会议精神，省、市重要会议精神和省、市领导讲话、指示精神，听取有关工作汇报，研究有关事项。区委副书记、区政府党组书记、区长伊文斌主持会议。</w:t>
      </w:r>
    </w:p>
    <w:p w14:paraId="5E1DC4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在5月27日中共中央政治局会议上的重要讲话精神。会议强调，全区政府系统要把学习贯彻中央政治局会议精神，同习近平总书记考察江西重要讲话精神结合起来，充分认识促进区域协调发展的重大意义，把握战略定位，认清自身方位，推动高质量发展；要深入贯彻党中央决策部署，此次审议通过的《新时代推动中部地区加快崛起的若干政策措施》，为中部地区崛起提供了明晰的任务书和路线图。昌江区要坚持开放发展，更大力度发展好主导产业，因地制宜加快发展新质生产力，为推动中部地区崛起作出昌江贡献；要深刻领会党中央关于防范化解金融风险的重要要求，落实好全面加强金融监管、防范化解金融风险、促进金融高质量发展各项任务。</w:t>
      </w:r>
    </w:p>
    <w:p w14:paraId="0E571D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省委书记尹弘在2024年文化强省建设推进大会上的讲话精神。会议强调，全区政府系统要贯彻落实会议精神，以习近平文化思想引领文化强区建设，强化齐抓共管，更好汇聚文化强区建设的工作合力；要通过文化与科技、旅游、金融等多领域深度融合，激发文化创新创造活力，打造好具有昌江特色的文化IP；要加强文化人才队伍建设，全方位加强文化人才引育留用，全面激发文化人才活力。</w:t>
      </w:r>
    </w:p>
    <w:p w14:paraId="30E66B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市委书记刘锋在调研督导中央生态环境保护督察移交信访件整改工作时的讲话精神。会议强调，要提高政治站位，中央生态环保督察是对落实习近平生态文明思想的政治体检，要坚决扛牢生态环境保护政治责任，对督察组反馈的问题诚恳接受、照单全收，严守工作纪律，积极做好协调配合工作；要讲究工作方法，在信访件办理工作中，要坚持问题导向，主动担当、积极应对，迅速受理分解，加强沟通对接，做好现场核查，严格完善台账资料，实事求是反馈报告，针对重点问题精准施策、深入整改，做到不遮掩问题、不回避矛盾，杜绝“一刀切”；要扎实抓牢整改，紧盯中央环保督察关注和群众反映强烈的问题，坚决抓好信访交办问题整改和环境风险隐患整治，确保各项整改要求落地落实，推动问题整改见底清零，不断提升生态环境保护工作成效。</w:t>
      </w:r>
    </w:p>
    <w:p w14:paraId="0200A8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听取了全区安全生产治本攻坚三年行动进展情况汇报。会议强调，要做到思想认识再深化，坚决克服麻痹思想和侥幸心理，确保安全生产形势平稳可控；要做到常态监管再精细，聚焦重点领域、关键环节，常态化抓好隐患排查整治；要做到安全责任再压实，进一步拧紧安全生产责任链条，把属地管理责任、行业部门监管责任、生产企业主体责任落到实处。</w:t>
      </w:r>
    </w:p>
    <w:p w14:paraId="66864D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听取了全区推进大规模设备更新和消费品以旧换新工作情况汇报。会议强调，要摸清底数。全面精准摸排工业、交通、文旅、医疗、农机、教育等领域设备更新需求和底数，决不能只是浮于表面、草草应付；要积极对接。精准把握政策要求，切实把国家政策用足用好，做好中央预算内资金、超长期特别国债项目论证、要素保障、对接申报等各项工作，切实提高项目成熟度，确保在项目争取和实施上抢占先机，为昌江扩投资、促发展、惠民生提供坚实有力保障；要服务主动。加强政策宣传解读，充分调动企业和消费者的积极性，积极动员各行业、各领域设备更新和以旧换新，让广大企业和市民群众共享高质量发展红利，确保大规模设备更新和消费品以旧换新工作取得扎实效果。</w:t>
      </w:r>
    </w:p>
    <w:p w14:paraId="13B85C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听取了全区制造业数字化转型升级工作情况汇报。会议强调，学习要更加深入。不断提高认识，充分认识数字化转型工作的重要性和紧迫性，仔细研读政策文件，找准切入点，将数字化转型工作作为发展新质生产力的重要举措；思路要更加清晰。要突出重点，坚持项目化、清单化、具体化，对制造业企业进行精准分类指导；对接要更加有效。以效果为导向，加快、精准、有效地加强工作对接。</w:t>
      </w:r>
    </w:p>
    <w:p w14:paraId="703A68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近期重要法规及重要文件，开展了警示教育；审议并原则通过了《2024年昌江区政务公开工作要点》《景德镇市昌江区制造业重点产业链现代化建设行动方案》以及城市最美书屋改造项目立项事宜。</w:t>
      </w:r>
    </w:p>
    <w:p w14:paraId="3FEE6E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ascii="仿宋_GB2312" w:hAnsi="仿宋_GB2312" w:eastAsia="仿宋_GB2312" w:cs="仿宋_GB2312"/>
          <w:kern w:val="0"/>
          <w:sz w:val="32"/>
          <w:szCs w:val="32"/>
          <w:lang w:val="en-US" w:eastAsia="zh-CN" w:bidi="ar-SA"/>
          <w14:ligatures w14:val="none"/>
        </w:rPr>
        <w:t>会议还研究了其他事项。</w:t>
      </w:r>
    </w:p>
    <w:p w14:paraId="5DF7B32E">
      <w:pPr>
        <w:pStyle w:val="2"/>
        <w:rPr>
          <w:rFonts w:hint="eastAsia"/>
        </w:rPr>
      </w:pPr>
    </w:p>
    <w:p w14:paraId="6F0622F9">
      <w:pPr>
        <w:rPr>
          <w:rFonts w:hint="eastAsia"/>
        </w:rPr>
      </w:pPr>
    </w:p>
    <w:p w14:paraId="1F2B5436">
      <w:pPr>
        <w:pStyle w:val="5"/>
        <w:pBdr>
          <w:top w:val="none" w:color="auto" w:sz="0" w:space="1"/>
          <w:left w:val="none" w:color="auto" w:sz="0" w:space="4"/>
          <w:bottom w:val="none" w:color="auto" w:sz="0" w:space="1"/>
          <w:right w:val="none" w:color="auto" w:sz="0" w:space="4"/>
        </w:pBdr>
        <w:spacing w:before="0" w:beforeAutospacing="0" w:after="0" w:afterAutospacing="0" w:line="4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区政府第</w:t>
      </w:r>
      <w:r>
        <w:rPr>
          <w:rFonts w:hint="eastAsia" w:ascii="方正小标宋简体" w:hAnsi="方正小标宋简体" w:eastAsia="方正小标宋简体" w:cs="方正小标宋简体"/>
          <w:sz w:val="44"/>
          <w:szCs w:val="44"/>
          <w:lang w:val="en-US" w:eastAsia="zh-CN"/>
        </w:rPr>
        <w:t>48</w:t>
      </w:r>
      <w:r>
        <w:rPr>
          <w:rFonts w:hint="eastAsia" w:ascii="方正小标宋简体" w:hAnsi="方正小标宋简体" w:eastAsia="方正小标宋简体" w:cs="方正小标宋简体"/>
          <w:sz w:val="44"/>
          <w:szCs w:val="44"/>
        </w:rPr>
        <w:t>次常务会议召开</w:t>
      </w:r>
    </w:p>
    <w:p w14:paraId="35D839E6">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eastAsia="仿宋"/>
          <w:b/>
          <w:bCs/>
          <w:sz w:val="32"/>
          <w:szCs w:val="32"/>
          <w:lang w:eastAsia="zh-CN"/>
        </w:rPr>
      </w:pPr>
      <w:r>
        <w:rPr>
          <w:rFonts w:hint="eastAsia" w:eastAsia="仿宋"/>
          <w:b/>
          <w:bCs/>
          <w:sz w:val="32"/>
          <w:szCs w:val="32"/>
          <w:lang w:eastAsia="zh-CN"/>
        </w:rPr>
        <w:t>伊文斌主持</w:t>
      </w:r>
    </w:p>
    <w:p w14:paraId="3E760D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6月20日，十一届昌江区政府第48次常务会召开，传达学习习近平总书记近期重要讲话、重要指示精神和党中央、国务院重要会议精神，省、市重要会议精神和省、市领导讲话、指示精神，听取有关工作汇报，研究有关事项。区委副书记、区政府党组书记、区长伊文斌主持会议。</w:t>
      </w:r>
    </w:p>
    <w:p w14:paraId="3398C1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在中央全面深化改革委员会第五次会议上的重要讲话精神。会议强调，要加强党建引领。坚持问题导向，精准施策，积极引导和鼓励企业完善治理机制，提升内部管理水平；要坚决守住粮食生产、安全底线。压实粮食安全主体责任，多措并举，提升粮食经营效益，有效支持散农、小农户等经营主体，促进农业现代化发展；要持续优化营商环境。为科技引入和创新，营造开放的市场环境和政策环境，着力解决科技人才现实关切，为昌江高质量发展提供强有力的科技和人才支撑。</w:t>
      </w:r>
    </w:p>
    <w:p w14:paraId="2A5300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在《求是》杂志上发表的重要文章《发展新质生产力是推动高质量发展的内在要求和重要着力点》。会议强调，要深入学习贯彻习近平总书记关于新质生产力、全面深化改革的一系列新思想、新观点、新论断，完整准确全面贯彻新发展理念，围绕大局，推改革、抓队伍，切实以全面深化改革的新成效、维护安全稳定的新业绩、护航经济发展的新成果，为经济社会高质量发展贡献昌江力量。</w:t>
      </w:r>
    </w:p>
    <w:p w14:paraId="038307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习近平总书记对进一步做好“四好农村路”建设作出的重要指示精神。会议强调，要深入学习贯彻习近平总书记对进一步做好“四好农村路”建设作出的重要指示精神，持续推进农村公路改造提升，不断完善农村公路网络，抓好农村公路交通安全隐患治理，健全农村公路长效管养机制，切实把农村公路建好、管好、护好、运营好。</w:t>
      </w:r>
    </w:p>
    <w:p w14:paraId="2F1785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省委书记尹弘在省委金融委员会第一次会议上的讲话精神。会议强调，要加强工作领导。在区金融委的统一领导下，有关部门和机构要加强协作交流，优化管理治理，充实金融人才队伍，统筹做好各类金融工作；要强化金融风险防范。聚焦房地产业、企业转型、非法集资等重点行业重点领域，压实债务化解责任，切实用好金融工具，盘活各类闲置资产，加强风险监控，兜牢系统性风险底线；要丰富金融服务实体举措。紧紧围绕“1269”行动计划，对重点产业、制造业数字化转型重点关注，通过创设金融服务站点、推广数字普惠产品、“财园信贷通”“科贷通”等金融产品，为辖区企业转型升级、做大做强提供有力支持。</w:t>
      </w:r>
    </w:p>
    <w:p w14:paraId="099670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省委书记尹弘在农村工作领导小组会议暨省耕地保护和粮食安全工作领导小组会上讲话精神。会议强调，要深入贯彻落实习近平总书记关于粮食安全的重要指示批示精神和考察江西重要讲话精神，切实从战略和全局的高度，深刻认识耕地保护和粮食安全工作的极端重要性、现实必要性和任务紧迫性，抓紧抓实耕地保护和粮食安全各项工作，牢牢守住耕地保护红线和粮食安全底线，为全省经济持续全面好转奠定坚实基础。</w:t>
      </w:r>
    </w:p>
    <w:p w14:paraId="2B5845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省长叶建春在美丽江西建设工作推进会上讲话精神。会议强调，要牢固树立和践行绿水青山就是金山银山理念，切实提升生态产品供给能力和经济价值，在持续强化生态环境保护的基础上，加快探索“两山”转化新路径，努力为美丽江西建设贡献昌江力量。</w:t>
      </w:r>
    </w:p>
    <w:p w14:paraId="664EA5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省委书记尹弘关于防汛工作批示精神和省长叶建春在防汛会商会时的讲话精神。会议强调，各部门务必要保持高度警惕，时刻绷紧防汛救灾这根弦，坚决克服麻痹厌战思想和松劲心态，压实落细各环节责任和措施。各级责任人要统筹做好指挥调度，及时高效处置，全力以赴应对近期强降雨过程。</w:t>
      </w:r>
    </w:p>
    <w:p w14:paraId="0CCF3F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会议传达学习了全市科技工作者会议精神。会议强调，全区上下要正视科技创新的重要性，科技人才是关键，深入推进校企合作，完善人才培养机制，积极对接，挖掘并吸引科技人才入驻昌江；要主动关心，瞄准科技人才关切问题，创造环境，打消疑虑，实现人才引的来、留的住、用的好。</w:t>
      </w:r>
    </w:p>
    <w:p w14:paraId="3A3531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r>
        <w:rPr>
          <w:rFonts w:hint="eastAsia" w:ascii="仿宋_GB2312" w:hAnsi="仿宋_GB2312" w:eastAsia="仿宋_GB2312" w:cs="仿宋_GB2312"/>
          <w:kern w:val="0"/>
          <w:sz w:val="32"/>
          <w:szCs w:val="32"/>
          <w:lang w:val="en-US" w:eastAsia="zh-CN" w:bidi="ar-SA"/>
          <w14:ligatures w14:val="none"/>
        </w:rPr>
        <w:t>就做好整治群众身边不正之风和腐败问题，会议强调，要坚持以人民为中心的发展思想，厚植为民情怀，着力惩治群众身边“蝇贪蚁腐”，解决群众反映强烈的突出问题，推动增进民生福祉，让人民群众切实感受到正风肃纪反腐就在身边。</w:t>
      </w:r>
      <w:r>
        <w:rPr>
          <w:rFonts w:hint="eastAsia" w:ascii="仿宋_GB2312" w:hAnsi="仿宋_GB2312" w:eastAsia="仿宋_GB2312" w:cs="仿宋_GB2312"/>
          <w:kern w:val="0"/>
          <w:sz w:val="32"/>
          <w:szCs w:val="32"/>
          <w:lang w:val="en-US" w:eastAsia="zh-CN" w:bidi="ar-SA"/>
          <w14:ligatures w14:val="none"/>
        </w:rPr>
        <w:br w:type="textWrapping"/>
      </w:r>
      <w:r>
        <w:rPr>
          <w:rFonts w:hint="eastAsia" w:ascii="仿宋_GB2312" w:hAnsi="仿宋_GB2312" w:eastAsia="仿宋_GB2312" w:cs="仿宋_GB2312"/>
          <w:kern w:val="0"/>
          <w:sz w:val="32"/>
          <w:szCs w:val="32"/>
          <w:lang w:val="en-US" w:eastAsia="zh-CN" w:bidi="ar-SA"/>
          <w14:ligatures w14:val="none"/>
        </w:rPr>
        <w:t xml:space="preserve">  会议还研究了其他事项。</w:t>
      </w:r>
    </w:p>
    <w:p w14:paraId="4C7288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val="en-US" w:eastAsia="zh-CN" w:bidi="ar-SA"/>
          <w14:ligatures w14:val="none"/>
        </w:rPr>
      </w:pPr>
    </w:p>
    <w:sectPr>
      <w:headerReference r:id="rId24" w:type="default"/>
      <w:headerReference r:id="rId25" w:type="even"/>
      <w:pgSz w:w="11906" w:h="16838"/>
      <w:pgMar w:top="1440" w:right="1417" w:bottom="1440" w:left="1417" w:header="851" w:footer="992" w:gutter="0"/>
      <w:pgNumType w:fmt="decimal"/>
      <w:cols w:space="425"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2000000000000000000"/>
    <w:charset w:val="86"/>
    <w:family w:val="auto"/>
    <w:pitch w:val="default"/>
    <w:sig w:usb0="00000000" w:usb1="00000000" w:usb2="00082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楷体简体">
    <w:altName w:val="宋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AB02F">
    <w:pPr>
      <w:pStyle w:val="11"/>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6E39A3">
                          <w:pPr>
                            <w:pStyle w:val="11"/>
                          </w:pPr>
                        </w:p>
                      </w:txbxContent>
                    </wps:txbx>
                    <wps:bodyPr wrap="none" lIns="0" tIns="0" rIns="0" bIns="0" upright="0">
                      <a:spAutoFit/>
                    </wps:bodyPr>
                  </wps:wsp>
                </a:graphicData>
              </a:graphic>
            </wp:anchor>
          </w:drawing>
        </mc:Choice>
        <mc:Fallback>
          <w:pict>
            <v:shape id="文本框 74"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22c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CUljlsc+Pnnj/OvP+ff38nb&#10;1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JfbZyQEAAJoDAAAOAAAAAAAAAAEAIAAAAB4BAABkcnMvZTJvRG9j&#10;LnhtbFBLBQYAAAAABgAGAFkBAABZBQAAAAA=&#10;">
              <v:fill on="f" focussize="0,0"/>
              <v:stroke on="f"/>
              <v:imagedata o:title=""/>
              <o:lock v:ext="edit" aspectratio="f"/>
              <v:textbox inset="0mm,0mm,0mm,0mm" style="mso-fit-shape-to-text:t;">
                <w:txbxContent>
                  <w:p w14:paraId="4F6E39A3">
                    <w:pPr>
                      <w:pStyle w:val="11"/>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AF8C1">
    <w:pPr>
      <w:pStyle w:val="11"/>
      <w:ind w:right="360" w:firstLine="360"/>
    </w:pPr>
    <w:r>
      <w:br w:type="textWrapping"/>
    </w: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33BA4F">
                          <w:pPr>
                            <w:pStyle w:val="11"/>
                            <w:ind w:firstLine="280" w:firstLineChars="100"/>
                            <w:rPr>
                              <w:rStyle w:val="23"/>
                              <w:rFonts w:hint="eastAsia" w:ascii="宋体" w:hAnsi="宋体"/>
                              <w:sz w:val="28"/>
                              <w:szCs w:val="28"/>
                            </w:rPr>
                          </w:pPr>
                          <w:r>
                            <w:rPr>
                              <w:rStyle w:val="23"/>
                              <w:rFonts w:hint="eastAsia" w:ascii="宋体" w:hAnsi="宋体"/>
                              <w:sz w:val="28"/>
                              <w:szCs w:val="28"/>
                            </w:rPr>
                            <w:t xml:space="preserve">— </w:t>
                          </w:r>
                          <w:r>
                            <w:rPr>
                              <w:rStyle w:val="23"/>
                              <w:rFonts w:hint="eastAsia" w:ascii="宋体" w:hAnsi="宋体"/>
                              <w:sz w:val="28"/>
                              <w:szCs w:val="28"/>
                            </w:rPr>
                            <w:fldChar w:fldCharType="begin"/>
                          </w:r>
                          <w:r>
                            <w:rPr>
                              <w:rStyle w:val="23"/>
                              <w:rFonts w:hint="eastAsia" w:ascii="宋体" w:hAnsi="宋体"/>
                              <w:sz w:val="28"/>
                              <w:szCs w:val="28"/>
                            </w:rPr>
                            <w:instrText xml:space="preserve"> PAGE  \* MERGEFORMAT </w:instrText>
                          </w:r>
                          <w:r>
                            <w:rPr>
                              <w:rStyle w:val="23"/>
                              <w:rFonts w:hint="eastAsia" w:ascii="宋体" w:hAnsi="宋体"/>
                              <w:sz w:val="28"/>
                              <w:szCs w:val="28"/>
                            </w:rPr>
                            <w:fldChar w:fldCharType="separate"/>
                          </w:r>
                          <w:r>
                            <w:rPr>
                              <w:rStyle w:val="23"/>
                              <w:rFonts w:hint="eastAsia" w:ascii="宋体" w:hAnsi="宋体"/>
                              <w:sz w:val="28"/>
                              <w:szCs w:val="28"/>
                            </w:rPr>
                            <w:t>18</w:t>
                          </w:r>
                          <w:r>
                            <w:rPr>
                              <w:rStyle w:val="23"/>
                              <w:rFonts w:hint="eastAsia" w:ascii="宋体" w:hAnsi="宋体"/>
                              <w:sz w:val="28"/>
                              <w:szCs w:val="28"/>
                            </w:rPr>
                            <w:fldChar w:fldCharType="end"/>
                          </w:r>
                          <w:r>
                            <w:rPr>
                              <w:rStyle w:val="23"/>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文本框 84"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Y94fMkBAACbAwAADgAAAGRycy9lMm9Eb2MueG1srVPNjtMwEL4j8Q6W&#10;79TZC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ukZJHLc48cv3b5cfvy4/v5L6&#10;ZRZoCNBg3n3AzDS+8SOuzeIHdGbeo4o2f5ERwThina/yyjERkR/V67quMCQwtlwQnz08DxHSW+kt&#10;yUZLI86vyMpP7yFNqUtKrub8nTamzNC4vxyImT0s9z71mK007seZ0N53Z+Qz4Ohb6nDTKTHvHCqL&#10;/aXFiIuxX4xjiPrQlzXK9SC8PiZsovSWK0ywc2GcWWE371deij/vJevhn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Nj3h8yQEAAJsDAAAOAAAAAAAAAAEAIAAAAB4BAABkcnMvZTJvRG9j&#10;LnhtbFBLBQYAAAAABgAGAFkBAABZBQAAAAA=&#10;">
              <v:fill on="f" focussize="0,0"/>
              <v:stroke on="f"/>
              <v:imagedata o:title=""/>
              <o:lock v:ext="edit" aspectratio="f"/>
              <v:textbox inset="0mm,0mm,0mm,0mm" style="mso-fit-shape-to-text:t;">
                <w:txbxContent>
                  <w:p w14:paraId="5033BA4F">
                    <w:pPr>
                      <w:pStyle w:val="11"/>
                      <w:ind w:firstLine="280" w:firstLineChars="100"/>
                      <w:rPr>
                        <w:rStyle w:val="23"/>
                        <w:rFonts w:hint="eastAsia" w:ascii="宋体" w:hAnsi="宋体"/>
                        <w:sz w:val="28"/>
                        <w:szCs w:val="28"/>
                      </w:rPr>
                    </w:pPr>
                    <w:r>
                      <w:rPr>
                        <w:rStyle w:val="23"/>
                        <w:rFonts w:hint="eastAsia" w:ascii="宋体" w:hAnsi="宋体"/>
                        <w:sz w:val="28"/>
                        <w:szCs w:val="28"/>
                      </w:rPr>
                      <w:t xml:space="preserve">— </w:t>
                    </w:r>
                    <w:r>
                      <w:rPr>
                        <w:rStyle w:val="23"/>
                        <w:rFonts w:hint="eastAsia" w:ascii="宋体" w:hAnsi="宋体"/>
                        <w:sz w:val="28"/>
                        <w:szCs w:val="28"/>
                      </w:rPr>
                      <w:fldChar w:fldCharType="begin"/>
                    </w:r>
                    <w:r>
                      <w:rPr>
                        <w:rStyle w:val="23"/>
                        <w:rFonts w:hint="eastAsia" w:ascii="宋体" w:hAnsi="宋体"/>
                        <w:sz w:val="28"/>
                        <w:szCs w:val="28"/>
                      </w:rPr>
                      <w:instrText xml:space="preserve"> PAGE  \* MERGEFORMAT </w:instrText>
                    </w:r>
                    <w:r>
                      <w:rPr>
                        <w:rStyle w:val="23"/>
                        <w:rFonts w:hint="eastAsia" w:ascii="宋体" w:hAnsi="宋体"/>
                        <w:sz w:val="28"/>
                        <w:szCs w:val="28"/>
                      </w:rPr>
                      <w:fldChar w:fldCharType="separate"/>
                    </w:r>
                    <w:r>
                      <w:rPr>
                        <w:rStyle w:val="23"/>
                        <w:rFonts w:hint="eastAsia" w:ascii="宋体" w:hAnsi="宋体"/>
                        <w:sz w:val="28"/>
                        <w:szCs w:val="28"/>
                      </w:rPr>
                      <w:t>18</w:t>
                    </w:r>
                    <w:r>
                      <w:rPr>
                        <w:rStyle w:val="23"/>
                        <w:rFonts w:hint="eastAsia" w:ascii="宋体" w:hAnsi="宋体"/>
                        <w:sz w:val="28"/>
                        <w:szCs w:val="28"/>
                      </w:rPr>
                      <w:fldChar w:fldCharType="end"/>
                    </w:r>
                    <w:r>
                      <w:rPr>
                        <w:rStyle w:val="23"/>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1ECE7">
    <w:pPr>
      <w:pStyle w:val="11"/>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99A24F">
                          <w:pPr>
                            <w:pStyle w:val="11"/>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75"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YpvU2soBAACaAwAADgAAAAAAAAABACAAAAAeAQAAZHJzL2Uyb0Rv&#10;Yy54bWxQSwUGAAAAAAYABgBZAQAAWgUAAAAA&#10;">
              <v:fill on="f" focussize="0,0"/>
              <v:stroke on="f"/>
              <v:imagedata o:title=""/>
              <o:lock v:ext="edit" aspectratio="f"/>
              <v:textbox inset="0mm,0mm,0mm,0mm" style="mso-fit-shape-to-text:t;">
                <w:txbxContent>
                  <w:p w14:paraId="7499A24F">
                    <w:pPr>
                      <w:pStyle w:val="1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6AE46">
    <w:pPr>
      <w:pStyle w:val="11"/>
      <w:wordWrap w:val="0"/>
      <w:ind w:right="560"/>
      <w:jc w:val="right"/>
      <w:rPr>
        <w:rFonts w:ascii="宋体" w:hAnsi="宋体"/>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52681A">
                          <w:pPr>
                            <w:pStyle w:val="11"/>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文本框 7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bOepzyQEAAJoDAAAOAAAAAAAAAAEAIAAAAB4BAABkcnMvZTJvRG9j&#10;LnhtbFBLBQYAAAAABgAGAFkBAABZBQAAAAA=&#10;">
              <v:fill on="f" focussize="0,0"/>
              <v:stroke on="f"/>
              <v:imagedata o:title=""/>
              <o:lock v:ext="edit" aspectratio="f"/>
              <v:textbox inset="0mm,0mm,0mm,0mm" style="mso-fit-shape-to-text:t;">
                <w:txbxContent>
                  <w:p w14:paraId="1052681A">
                    <w:pPr>
                      <w:pStyle w:val="11"/>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eastAsia" w:ascii="宋体" w:hAnsi="宋体"/>
        <w:sz w:val="28"/>
        <w:szCs w:val="28"/>
      </w:rPr>
      <w:t xml:space="preserve"> </w:t>
    </w:r>
  </w:p>
  <w:p w14:paraId="2D180F50">
    <w:pPr>
      <w:pStyle w:val="11"/>
      <w:wordWrap w:val="0"/>
      <w:jc w:val="right"/>
      <w:rPr>
        <w:rFonts w:asci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1E58A">
    <w:pPr>
      <w:pStyle w:val="11"/>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4ECB2E">
                          <w:pPr>
                            <w:pStyle w:val="11"/>
                          </w:pPr>
                        </w:p>
                      </w:txbxContent>
                    </wps:txbx>
                    <wps:bodyPr wrap="none" lIns="0" tIns="0" rIns="0" bIns="0" upright="0">
                      <a:spAutoFit/>
                    </wps:bodyPr>
                  </wps:wsp>
                </a:graphicData>
              </a:graphic>
            </wp:anchor>
          </w:drawing>
        </mc:Choice>
        <mc:Fallback>
          <w:pict>
            <v:shape id="文本框 77"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zWi+iyQEAAJoDAAAOAAAAAAAAAAEAIAAAAB4BAABkcnMvZTJvRG9j&#10;LnhtbFBLBQYAAAAABgAGAFkBAABZBQAAAAA=&#10;">
              <v:fill on="f" focussize="0,0"/>
              <v:stroke on="f"/>
              <v:imagedata o:title=""/>
              <o:lock v:ext="edit" aspectratio="f"/>
              <v:textbox inset="0mm,0mm,0mm,0mm" style="mso-fit-shape-to-text:t;">
                <w:txbxContent>
                  <w:p w14:paraId="3F4ECB2E">
                    <w:pPr>
                      <w:pStyle w:val="11"/>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37913">
    <w:pPr>
      <w:pStyle w:val="11"/>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E68C21">
                          <w:pPr>
                            <w:pStyle w:val="11"/>
                          </w:pPr>
                        </w:p>
                      </w:txbxContent>
                    </wps:txbx>
                    <wps:bodyPr wrap="none" lIns="0" tIns="0" rIns="0" bIns="0" upright="0">
                      <a:spAutoFit/>
                    </wps:bodyPr>
                  </wps:wsp>
                </a:graphicData>
              </a:graphic>
            </wp:anchor>
          </w:drawing>
        </mc:Choice>
        <mc:Fallback>
          <w:pict>
            <v:shape id="文本框 78"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1bnPsgBAACbAwAADgAAAGRycy9lMm9Eb2MueG1srVPNjtMwEL4j8Q6W&#10;79TZHiCK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jvchDUljluc+OX7t8uPX5efX8mr&#10;Ogs0BGgw7z5gZhrf+BGTFz+gM/MeVbT5i4wIxlHe81VeOSYi8qN6XdcVhgTGlgvis4fnIUJ6K70l&#10;2WhpxPkVWfnpPaQpdUnJ1Zy/08aUGRr3lwMxs4fl3qces5XG/TgT2vvujHwGHH1LHW46JeadQ2Xz&#10;lixGXIz9YhxD1Ie+rFGuB+H1MWETpbdcYYKdC+PMCrt5v/JS/HkvWQ//1P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9W5z7IAQAAmwMAAA4AAAAAAAAAAQAgAAAAHgEAAGRycy9lMm9Eb2Mu&#10;eG1sUEsFBgAAAAAGAAYAWQEAAFgFAAAAAA==&#10;">
              <v:fill on="f" focussize="0,0"/>
              <v:stroke on="f"/>
              <v:imagedata o:title=""/>
              <o:lock v:ext="edit" aspectratio="f"/>
              <v:textbox inset="0mm,0mm,0mm,0mm" style="mso-fit-shape-to-text:t;">
                <w:txbxContent>
                  <w:p w14:paraId="74E68C21">
                    <w:pPr>
                      <w:pStyle w:val="11"/>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77168">
    <w:pPr>
      <w:pStyle w:val="11"/>
      <w:rPr>
        <w:sz w:val="24"/>
      </w:rPr>
    </w:pPr>
    <w:r>
      <w:rPr>
        <w:sz w:val="24"/>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9E0A6D">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79"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O85T98oBAACbAwAADgAAAAAAAAABACAAAAAeAQAAZHJzL2Uyb0Rv&#10;Yy54bWxQSwUGAAAAAAYABgBZAQAAWgUAAAAA&#10;">
              <v:fill on="f" focussize="0,0"/>
              <v:stroke on="f"/>
              <v:imagedata o:title=""/>
              <o:lock v:ext="edit" aspectratio="f"/>
              <v:textbox inset="0mm,0mm,0mm,0mm" style="mso-fit-shape-to-text:t;">
                <w:txbxContent>
                  <w:p w14:paraId="549E0A6D">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8D887">
    <w:pPr>
      <w:pStyle w:val="11"/>
      <w:ind w:right="360" w:firstLine="360"/>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8E2486">
                          <w:pPr>
                            <w:pStyle w:val="11"/>
                            <w:ind w:firstLine="280" w:firstLineChars="100"/>
                            <w:rPr>
                              <w:rStyle w:val="23"/>
                              <w:rFonts w:hint="eastAsia" w:ascii="宋体" w:hAnsi="宋体"/>
                              <w:sz w:val="28"/>
                              <w:szCs w:val="28"/>
                            </w:rPr>
                          </w:pPr>
                          <w:r>
                            <w:rPr>
                              <w:rStyle w:val="23"/>
                              <w:rFonts w:hint="eastAsia" w:ascii="宋体" w:hAnsi="宋体"/>
                              <w:sz w:val="28"/>
                              <w:szCs w:val="28"/>
                            </w:rPr>
                            <w:t xml:space="preserve">— </w:t>
                          </w:r>
                          <w:r>
                            <w:rPr>
                              <w:rFonts w:ascii="宋体" w:hAnsi="宋体"/>
                              <w:sz w:val="28"/>
                              <w:szCs w:val="28"/>
                            </w:rPr>
                            <w:fldChar w:fldCharType="begin"/>
                          </w:r>
                          <w:r>
                            <w:rPr>
                              <w:rStyle w:val="23"/>
                              <w:rFonts w:ascii="宋体" w:hAnsi="宋体"/>
                              <w:sz w:val="28"/>
                              <w:szCs w:val="28"/>
                            </w:rPr>
                            <w:instrText xml:space="preserve">PAGE  </w:instrText>
                          </w:r>
                          <w:r>
                            <w:rPr>
                              <w:rFonts w:ascii="宋体" w:hAnsi="宋体"/>
                              <w:sz w:val="28"/>
                              <w:szCs w:val="28"/>
                            </w:rPr>
                            <w:fldChar w:fldCharType="separate"/>
                          </w:r>
                          <w:r>
                            <w:rPr>
                              <w:rStyle w:val="23"/>
                              <w:rFonts w:ascii="宋体" w:hAnsi="宋体"/>
                              <w:sz w:val="28"/>
                              <w:szCs w:val="28"/>
                            </w:rPr>
                            <w:t>8</w:t>
                          </w:r>
                          <w:r>
                            <w:rPr>
                              <w:rFonts w:ascii="宋体" w:hAnsi="宋体"/>
                              <w:sz w:val="28"/>
                              <w:szCs w:val="28"/>
                            </w:rPr>
                            <w:fldChar w:fldCharType="end"/>
                          </w:r>
                          <w:r>
                            <w:rPr>
                              <w:rStyle w:val="23"/>
                              <w:rFonts w:hint="eastAsia" w:ascii="宋体" w:hAnsi="宋体"/>
                              <w:sz w:val="28"/>
                              <w:szCs w:val="28"/>
                            </w:rPr>
                            <w:t xml:space="preserve"> —</w:t>
                          </w:r>
                        </w:p>
                      </w:txbxContent>
                    </wps:txbx>
                    <wps:bodyPr wrap="none" lIns="0" tIns="0" rIns="0" bIns="0" upright="0">
                      <a:spAutoFit/>
                    </wps:bodyPr>
                  </wps:wsp>
                </a:graphicData>
              </a:graphic>
            </wp:anchor>
          </w:drawing>
        </mc:Choice>
        <mc:Fallback>
          <w:pict>
            <v:shape id="文本框 85"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an4OPLAQAAmwMAAA4AAAAAAAAAAQAgAAAAHgEAAGRycy9lMm9E&#10;b2MueG1sUEsFBgAAAAAGAAYAWQEAAFsFAAAAAA==&#10;">
              <v:fill on="f" focussize="0,0"/>
              <v:stroke on="f"/>
              <v:imagedata o:title=""/>
              <o:lock v:ext="edit" aspectratio="f"/>
              <v:textbox inset="0mm,0mm,0mm,0mm" style="mso-fit-shape-to-text:t;">
                <w:txbxContent>
                  <w:p w14:paraId="638E2486">
                    <w:pPr>
                      <w:pStyle w:val="11"/>
                      <w:ind w:firstLine="280" w:firstLineChars="100"/>
                      <w:rPr>
                        <w:rStyle w:val="23"/>
                        <w:rFonts w:hint="eastAsia" w:ascii="宋体" w:hAnsi="宋体"/>
                        <w:sz w:val="28"/>
                        <w:szCs w:val="28"/>
                      </w:rPr>
                    </w:pPr>
                    <w:r>
                      <w:rPr>
                        <w:rStyle w:val="23"/>
                        <w:rFonts w:hint="eastAsia" w:ascii="宋体" w:hAnsi="宋体"/>
                        <w:sz w:val="28"/>
                        <w:szCs w:val="28"/>
                      </w:rPr>
                      <w:t xml:space="preserve">— </w:t>
                    </w:r>
                    <w:r>
                      <w:rPr>
                        <w:rFonts w:ascii="宋体" w:hAnsi="宋体"/>
                        <w:sz w:val="28"/>
                        <w:szCs w:val="28"/>
                      </w:rPr>
                      <w:fldChar w:fldCharType="begin"/>
                    </w:r>
                    <w:r>
                      <w:rPr>
                        <w:rStyle w:val="23"/>
                        <w:rFonts w:ascii="宋体" w:hAnsi="宋体"/>
                        <w:sz w:val="28"/>
                        <w:szCs w:val="28"/>
                      </w:rPr>
                      <w:instrText xml:space="preserve">PAGE  </w:instrText>
                    </w:r>
                    <w:r>
                      <w:rPr>
                        <w:rFonts w:ascii="宋体" w:hAnsi="宋体"/>
                        <w:sz w:val="28"/>
                        <w:szCs w:val="28"/>
                      </w:rPr>
                      <w:fldChar w:fldCharType="separate"/>
                    </w:r>
                    <w:r>
                      <w:rPr>
                        <w:rStyle w:val="23"/>
                        <w:rFonts w:ascii="宋体" w:hAnsi="宋体"/>
                        <w:sz w:val="28"/>
                        <w:szCs w:val="28"/>
                      </w:rPr>
                      <w:t>8</w:t>
                    </w:r>
                    <w:r>
                      <w:rPr>
                        <w:rFonts w:ascii="宋体" w:hAnsi="宋体"/>
                        <w:sz w:val="28"/>
                        <w:szCs w:val="28"/>
                      </w:rPr>
                      <w:fldChar w:fldCharType="end"/>
                    </w:r>
                    <w:r>
                      <w:rPr>
                        <w:rStyle w:val="23"/>
                        <w:rFonts w:hint="eastAsia" w:ascii="宋体" w:hAnsi="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EA700">
    <w:pPr>
      <w:pStyle w:val="11"/>
      <w:tabs>
        <w:tab w:val="center" w:pos="7002"/>
        <w:tab w:val="clear" w:pos="4153"/>
      </w:tabs>
      <w:rPr>
        <w:rFonts w:hint="eastAsia" w:ascii="宋体" w:hAnsi="宋体" w:eastAsia="宋体" w:cs="宋体"/>
        <w:sz w:val="28"/>
        <w:szCs w:val="28"/>
      </w:rPr>
    </w:pPr>
    <w:r>
      <w:rPr>
        <w:sz w:val="32"/>
        <w:szCs w:val="32"/>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A7AA00">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7A7AA00">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ascii="宋体" w:hAnsi="宋体" w:cs="宋体"/>
        <w:sz w:val="32"/>
        <w:szCs w:val="32"/>
        <w:lang w:eastAsia="zh-CN"/>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72D70">
    <w:pPr>
      <w:pStyle w:val="11"/>
      <w:rPr>
        <w:sz w:val="24"/>
      </w:rPr>
    </w:pPr>
    <w:r>
      <w:rPr>
        <w:sz w:val="24"/>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1ED5D1">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文本框 83"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0cliP8oBAACbAwAADgAAAAAAAAABACAAAAAeAQAAZHJzL2Uyb0Rv&#10;Yy54bWxQSwUGAAAAAAYABgBZAQAAWgUAAAAA&#10;">
              <v:fill on="f" focussize="0,0"/>
              <v:stroke on="f"/>
              <v:imagedata o:title=""/>
              <o:lock v:ext="edit" aspectratio="f"/>
              <v:textbox inset="0mm,0mm,0mm,0mm" style="mso-fit-shape-to-text:t;">
                <w:txbxContent>
                  <w:p w14:paraId="2D1ED5D1">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3C001">
    <w:pPr>
      <w:pStyle w:val="12"/>
      <w:pBdr>
        <w:bottom w:val="single" w:color="auto" w:sz="4"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ACC05">
    <w:pPr>
      <w:pStyle w:val="12"/>
      <w:pBdr>
        <w:bottom w:val="single" w:color="auto" w:sz="4" w:space="1"/>
      </w:pBdr>
      <w:rPr>
        <w:rFonts w:hint="eastAsia"/>
        <w:lang w:val="en-US" w:eastAsia="zh-CN"/>
      </w:rPr>
    </w:pPr>
    <w:r>
      <w:rPr>
        <w:rFonts w:hint="eastAsia" w:ascii="楷体" w:hAnsi="楷体" w:eastAsia="楷体" w:cs="楷体"/>
        <w:sz w:val="24"/>
        <w:szCs w:val="40"/>
        <w:lang w:eastAsia="zh-CN"/>
      </w:rPr>
      <w:t>区政府办公室文件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54CA6">
    <w:pPr>
      <w:pStyle w:val="12"/>
      <w:pBdr>
        <w:bottom w:val="single" w:color="auto" w:sz="4" w:space="1"/>
      </w:pBdr>
      <w:jc w:val="right"/>
      <w:rPr>
        <w:rFonts w:hint="eastAsia" w:ascii="楷体" w:hAnsi="楷体" w:eastAsia="楷体" w:cs="楷体"/>
        <w:sz w:val="24"/>
        <w:szCs w:val="40"/>
        <w:lang w:eastAsia="zh-CN"/>
      </w:rPr>
    </w:pPr>
    <w:r>
      <w:rPr>
        <w:rFonts w:ascii="楷体" w:hAnsi="楷体" w:eastAsia="楷体" w:cs="楷体"/>
        <w:sz w:val="24"/>
        <w:szCs w:val="40"/>
      </w:rPr>
      <mc:AlternateContent>
        <mc:Choice Requires="wps">
          <w:drawing>
            <wp:anchor distT="0" distB="0" distL="114300" distR="114300" simplePos="0" relativeHeight="25168076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304F687">
                          <w:pPr>
                            <w:pStyle w:val="1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mEs+A5AgAAcQ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OmEs+A5AgAAcQQAAA4AAAAAAAAAAQAgAAAAHwEAAGRycy9lMm9Eb2Mu&#10;eG1sUEsFBgAAAAAGAAYAWQEAAMoFAAAAAA==&#10;">
              <v:fill on="f" focussize="0,0"/>
              <v:stroke on="f" weight="0.5pt"/>
              <v:imagedata o:title=""/>
              <o:lock v:ext="edit" aspectratio="f"/>
              <v:textbox inset="0mm,0mm,0mm,0mm" style="mso-fit-shape-to-text:t;">
                <w:txbxContent>
                  <w:p w14:paraId="1304F687">
                    <w:pPr>
                      <w:pStyle w:val="12"/>
                    </w:pPr>
                  </w:p>
                </w:txbxContent>
              </v:textbox>
            </v:shape>
          </w:pict>
        </mc:Fallback>
      </mc:AlternateContent>
    </w:r>
    <w:r>
      <w:rPr>
        <w:rFonts w:hint="eastAsia" w:ascii="楷体" w:hAnsi="楷体" w:eastAsia="楷体" w:cs="楷体"/>
        <w:sz w:val="24"/>
        <w:szCs w:val="40"/>
        <w:lang w:eastAsia="zh-CN"/>
      </w:rPr>
      <w:t>区政府办公室文件</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B3589">
    <w:pPr>
      <w:pStyle w:val="12"/>
      <w:pBdr>
        <w:bottom w:val="single" w:color="auto" w:sz="4" w:space="1"/>
      </w:pBdr>
      <w:rPr>
        <w:rFonts w:hint="default"/>
        <w:lang w:val="en-US" w:eastAsia="zh-CN"/>
      </w:rPr>
    </w:pPr>
    <w:r>
      <w:rPr>
        <w:rFonts w:hint="eastAsia" w:ascii="楷体" w:hAnsi="楷体" w:eastAsia="楷体" w:cs="楷体"/>
        <w:sz w:val="24"/>
        <w:szCs w:val="40"/>
        <w:lang w:val="en-US" w:eastAsia="zh-CN"/>
      </w:rPr>
      <w:t>政务动态</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662CB">
    <w:pPr>
      <w:pStyle w:val="12"/>
      <w:pBdr>
        <w:bottom w:val="single" w:color="auto" w:sz="4" w:space="1"/>
      </w:pBdr>
      <w:jc w:val="right"/>
      <w:rPr>
        <w:rFonts w:hint="default" w:ascii="楷体" w:hAnsi="楷体" w:eastAsia="楷体" w:cs="楷体"/>
        <w:sz w:val="24"/>
        <w:szCs w:val="40"/>
        <w:lang w:val="en-US" w:eastAsia="zh-CN"/>
      </w:rPr>
    </w:pPr>
    <w:r>
      <w:rPr>
        <w:rFonts w:hint="default" w:ascii="楷体" w:hAnsi="楷体" w:eastAsia="楷体" w:cs="楷体"/>
        <w:sz w:val="24"/>
        <w:szCs w:val="40"/>
        <w:lang w:val="en-US"/>
      </w:rPr>
      <mc:AlternateContent>
        <mc:Choice Requires="wps">
          <w:drawing>
            <wp:anchor distT="0" distB="0" distL="114300" distR="114300" simplePos="0" relativeHeight="25168179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1669D0">
                          <w:pPr>
                            <w:pStyle w:val="1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g2+aU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Mg2+aU5AgAAcQQAAA4AAAAAAAAAAQAgAAAAHwEAAGRycy9lMm9Eb2Mu&#10;eG1sUEsFBgAAAAAGAAYAWQEAAMoFAAAAAA==&#10;">
              <v:fill on="f" focussize="0,0"/>
              <v:stroke on="f" weight="0.5pt"/>
              <v:imagedata o:title=""/>
              <o:lock v:ext="edit" aspectratio="f"/>
              <v:textbox inset="0mm,0mm,0mm,0mm" style="mso-fit-shape-to-text:t;">
                <w:txbxContent>
                  <w:p w14:paraId="5F1669D0">
                    <w:pPr>
                      <w:pStyle w:val="12"/>
                    </w:pPr>
                  </w:p>
                </w:txbxContent>
              </v:textbox>
            </v:shape>
          </w:pict>
        </mc:Fallback>
      </mc:AlternateContent>
    </w:r>
    <w:r>
      <w:rPr>
        <w:rFonts w:hint="eastAsia" w:ascii="楷体" w:hAnsi="楷体" w:eastAsia="楷体" w:cs="楷体"/>
        <w:sz w:val="24"/>
        <w:szCs w:val="40"/>
        <w:lang w:val="en-US" w:eastAsia="zh-CN"/>
      </w:rPr>
      <w:t>政务动态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2C87F">
    <w:pPr>
      <w:pStyle w:val="12"/>
      <w:ind w:firstLine="138" w:firstLineChars="66"/>
      <w:jc w:val="left"/>
      <w:rPr>
        <w:rFonts w:ascii="仿宋" w:hAnsi="仿宋" w:eastAsia="仿宋" w:cs="仿宋"/>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9046C">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DCC18">
    <w:pPr>
      <w:pStyle w:val="12"/>
      <w:pBdr>
        <w:bottom w:val="single" w:color="auto" w:sz="4" w:space="1"/>
      </w:pBdr>
      <w:tabs>
        <w:tab w:val="right" w:pos="9740"/>
        <w:tab w:val="clear" w:pos="4153"/>
        <w:tab w:val="clear" w:pos="8306"/>
      </w:tabs>
      <w:rPr>
        <w:rFonts w:ascii="楷体" w:hAnsi="楷体" w:eastAsia="楷体" w:cs="楷体"/>
        <w:sz w:val="24"/>
      </w:rPr>
    </w:pPr>
    <w:r>
      <w:rPr>
        <w:rFonts w:ascii="楷体" w:hAnsi="楷体" w:eastAsia="楷体" w:cs="楷体"/>
        <w:sz w:val="24"/>
      </w:rPr>
      <mc:AlternateContent>
        <mc:Choice Requires="wps">
          <w:drawing>
            <wp:anchor distT="0" distB="0" distL="114300" distR="114300" simplePos="0" relativeHeight="251666432" behindDoc="0" locked="0" layoutInCell="1" allowOverlap="1">
              <wp:simplePos x="0" y="0"/>
              <wp:positionH relativeFrom="margin">
                <wp:posOffset>6068060</wp:posOffset>
              </wp:positionH>
              <wp:positionV relativeFrom="paragraph">
                <wp:posOffset>0</wp:posOffset>
              </wp:positionV>
              <wp:extent cx="58420" cy="1651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CC4650C">
                          <w:pPr>
                            <w:pStyle w:val="12"/>
                            <w:pBdr>
                              <w:left w:val="none" w:color="auto" w:sz="0" w:space="14"/>
                            </w:pBd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77.8pt;margin-top:0pt;height:13pt;width:4.6pt;mso-position-horizontal-relative:margin;mso-wrap-style:none;z-index:251666432;mso-width-relative:page;mso-height-relative:page;" filled="f" stroked="f" coordsize="21600,21600" o:gfxdata="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ujn6vNUAAAAHAQAADwAAAAAAAAABACAAAAAiAAAAZHJzL2Rvd25yZXYu&#10;eG1sUEsBAhQAFAAAAAgAh07iQBR89qo3AgAAbwQAAA4AAAAAAAAAAQAgAAAAJAEAAGRycy9lMm9E&#10;b2MueG1sUEsFBgAAAAAGAAYAWQEAAM0FAAAAAA==&#10;">
              <v:fill on="f" focussize="0,0"/>
              <v:stroke on="f" weight="0.5pt"/>
              <v:imagedata o:title=""/>
              <o:lock v:ext="edit" aspectratio="f"/>
              <v:textbox inset="0mm,0mm,0mm,0mm" style="mso-fit-shape-to-text:t;">
                <w:txbxContent>
                  <w:p w14:paraId="0CC4650C">
                    <w:pPr>
                      <w:pStyle w:val="12"/>
                      <w:pBdr>
                        <w:left w:val="none" w:color="auto" w:sz="0" w:space="14"/>
                      </w:pBdr>
                    </w:pPr>
                  </w:p>
                </w:txbxContent>
              </v:textbox>
            </v:shape>
          </w:pict>
        </mc:Fallback>
      </mc:AlternateContent>
    </w:r>
    <w:r>
      <w:rPr>
        <w:rFonts w:ascii="楷体" w:hAnsi="楷体" w:eastAsia="楷体" w:cs="楷体"/>
        <w:sz w:val="24"/>
      </w:rPr>
      <w:tab/>
    </w:r>
  </w:p>
  <w:p w14:paraId="70644C46">
    <w:pPr>
      <w:pStyle w:val="1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0AE1C">
    <w:pPr>
      <w:pStyle w:val="12"/>
      <w:pBdr>
        <w:bottom w:val="none" w:color="auto" w:sz="0" w:space="1"/>
      </w:pBdr>
      <w:rPr>
        <w:rFonts w:hint="eastAsia" w:ascii="楷体" w:hAnsi="楷体" w:eastAsia="楷体" w:cs="楷体"/>
        <w:sz w:val="24"/>
        <w:lang w:val="en-US"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92FF4">
    <w:pPr>
      <w:pStyle w:val="12"/>
      <w:rPr>
        <w:rFonts w:hint="eastAsia"/>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1195C">
    <w:pPr>
      <w:pStyle w:val="12"/>
      <w:pBdr>
        <w:bottom w:val="single" w:color="auto" w:sz="4" w:space="1"/>
      </w:pBdr>
      <w:rPr>
        <w:rFonts w:hint="eastAsia" w:ascii="楷体" w:hAnsi="楷体" w:eastAsia="楷体" w:cs="楷体"/>
        <w:sz w:val="24"/>
        <w:lang w:eastAsia="zh-CN"/>
      </w:rPr>
    </w:pPr>
    <w:r>
      <w:rPr>
        <w:rFonts w:ascii="楷体" w:hAnsi="楷体" w:eastAsia="楷体" w:cs="楷体"/>
        <w:sz w:val="24"/>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310073B">
                          <w:pPr>
                            <w:pStyle w:val="1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N+E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5w34TgCAABxBAAADgAAAAAAAAABACAAAAAfAQAAZHJzL2Uyb0RvYy54&#10;bWxQSwUGAAAAAAYABgBZAQAAyQUAAAAA&#10;">
              <v:fill on="f" focussize="0,0"/>
              <v:stroke on="f" weight="0.5pt"/>
              <v:imagedata o:title=""/>
              <o:lock v:ext="edit" aspectratio="f"/>
              <v:textbox inset="0mm,0mm,0mm,0mm" style="mso-fit-shape-to-text:t;">
                <w:txbxContent>
                  <w:p w14:paraId="3310073B">
                    <w:pPr>
                      <w:pStyle w:val="12"/>
                    </w:pPr>
                  </w:p>
                </w:txbxContent>
              </v:textbox>
            </v:shape>
          </w:pict>
        </mc:Fallback>
      </mc:AlternateContent>
    </w:r>
    <w:r>
      <w:rPr>
        <w:rFonts w:hint="eastAsia" w:ascii="楷体" w:hAnsi="楷体" w:eastAsia="楷体" w:cs="楷体"/>
        <w:sz w:val="24"/>
        <w:lang w:eastAsia="zh-CN"/>
      </w:rPr>
      <w:t>区政府办公室文件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6859B">
    <w:pPr>
      <w:pStyle w:val="12"/>
      <w:pBdr>
        <w:bottom w:val="single" w:color="auto" w:sz="4" w:space="1"/>
      </w:pBdr>
      <w:jc w:val="right"/>
      <w:rPr>
        <w:rFonts w:hint="eastAsia" w:ascii="楷体" w:hAnsi="楷体" w:eastAsia="楷体" w:cs="楷体"/>
        <w:sz w:val="24"/>
        <w:szCs w:val="40"/>
        <w:lang w:eastAsia="zh-CN"/>
      </w:rPr>
    </w:pPr>
    <w:r>
      <w:rPr>
        <w:rFonts w:ascii="楷体" w:hAnsi="楷体" w:eastAsia="楷体" w:cs="楷体"/>
        <w:sz w:val="24"/>
        <w:szCs w:val="40"/>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876FB7B">
                          <w:pPr>
                            <w:pStyle w:val="1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K6C45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CxK6C45AgAAcQQAAA4AAAAAAAAAAQAgAAAAHwEAAGRycy9lMm9Eb2Mu&#10;eG1sUEsFBgAAAAAGAAYAWQEAAMoFAAAAAA==&#10;">
              <v:fill on="f" focussize="0,0"/>
              <v:stroke on="f" weight="0.5pt"/>
              <v:imagedata o:title=""/>
              <o:lock v:ext="edit" aspectratio="f"/>
              <v:textbox inset="0mm,0mm,0mm,0mm" style="mso-fit-shape-to-text:t;">
                <w:txbxContent>
                  <w:p w14:paraId="1876FB7B">
                    <w:pPr>
                      <w:pStyle w:val="12"/>
                    </w:pPr>
                  </w:p>
                </w:txbxContent>
              </v:textbox>
            </v:shape>
          </w:pict>
        </mc:Fallback>
      </mc:AlternateContent>
    </w:r>
    <w:r>
      <w:rPr>
        <w:rFonts w:hint="eastAsia" w:ascii="楷体" w:hAnsi="楷体" w:eastAsia="楷体" w:cs="楷体"/>
        <w:sz w:val="24"/>
        <w:szCs w:val="40"/>
        <w:lang w:eastAsia="zh-CN"/>
      </w:rPr>
      <w:t>区政府办公室文件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96CEA">
    <w:pPr>
      <w:pStyle w:val="12"/>
      <w:pBdr>
        <w:bottom w:val="single" w:color="auto" w:sz="4" w:space="1"/>
      </w:pBdr>
      <w:jc w:val="right"/>
      <w:rPr>
        <w:rFonts w:hint="eastAsia" w:ascii="楷体" w:hAnsi="楷体" w:eastAsia="楷体" w:cs="楷体"/>
        <w:sz w:val="24"/>
        <w:szCs w:val="40"/>
        <w:lang w:eastAsia="zh-CN"/>
      </w:rPr>
    </w:pPr>
    <w:r>
      <w:rPr>
        <w:rFonts w:ascii="楷体" w:hAnsi="楷体" w:eastAsia="楷体" w:cs="楷体"/>
        <w:sz w:val="24"/>
        <w:szCs w:val="40"/>
      </w:rPr>
      <mc:AlternateContent>
        <mc:Choice Requires="wps">
          <w:drawing>
            <wp:anchor distT="0" distB="0" distL="114300" distR="114300" simplePos="0" relativeHeight="25167974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2E20966">
                          <w:pPr>
                            <w:pStyle w:val="1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SbC86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vr8b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KUmwvOgIAAHEEAAAOAAAAAAAAAAEAIAAAAB8BAABkcnMvZTJvRG9j&#10;LnhtbFBLBQYAAAAABgAGAFkBAADLBQAAAAA=&#10;">
              <v:fill on="f" focussize="0,0"/>
              <v:stroke on="f" weight="0.5pt"/>
              <v:imagedata o:title=""/>
              <o:lock v:ext="edit" aspectratio="f"/>
              <v:textbox inset="0mm,0mm,0mm,0mm" style="mso-fit-shape-to-text:t;">
                <w:txbxContent>
                  <w:p w14:paraId="72E20966">
                    <w:pPr>
                      <w:pStyle w:val="12"/>
                    </w:pPr>
                  </w:p>
                </w:txbxContent>
              </v:textbox>
            </v:shape>
          </w:pict>
        </mc:Fallback>
      </mc:AlternateContent>
    </w:r>
    <w:r>
      <w:rPr>
        <w:rFonts w:hint="eastAsia" w:ascii="楷体" w:hAnsi="楷体" w:eastAsia="楷体" w:cs="楷体"/>
        <w:sz w:val="24"/>
        <w:szCs w:val="40"/>
        <w:lang w:eastAsia="zh-CN"/>
      </w:rPr>
      <w:t>区政府办公室文件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923BE2"/>
    <w:multiLevelType w:val="singleLevel"/>
    <w:tmpl w:val="06923BE2"/>
    <w:lvl w:ilvl="0" w:tentative="0">
      <w:start w:val="4"/>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zOWNlNjVmNDJlMjI1OWZjYzFjNDliNGMyM2I3MGYifQ=="/>
    <w:docVar w:name="KSO_WPS_MARK_KEY" w:val="9bc42a48-462c-4441-96d9-403b511e5874"/>
  </w:docVars>
  <w:rsids>
    <w:rsidRoot w:val="00C331AD"/>
    <w:rsid w:val="00070C5D"/>
    <w:rsid w:val="000B2434"/>
    <w:rsid w:val="000C7F21"/>
    <w:rsid w:val="00113884"/>
    <w:rsid w:val="001935C6"/>
    <w:rsid w:val="001979B3"/>
    <w:rsid w:val="001C198C"/>
    <w:rsid w:val="002507A2"/>
    <w:rsid w:val="004078A5"/>
    <w:rsid w:val="0047481C"/>
    <w:rsid w:val="004F5376"/>
    <w:rsid w:val="00513FA8"/>
    <w:rsid w:val="005F366D"/>
    <w:rsid w:val="00632DAD"/>
    <w:rsid w:val="006B30A2"/>
    <w:rsid w:val="00757DF6"/>
    <w:rsid w:val="0082408D"/>
    <w:rsid w:val="009865C1"/>
    <w:rsid w:val="00A4150D"/>
    <w:rsid w:val="00A533FF"/>
    <w:rsid w:val="00AE1A5F"/>
    <w:rsid w:val="00B345ED"/>
    <w:rsid w:val="00B75CCD"/>
    <w:rsid w:val="00BC1B64"/>
    <w:rsid w:val="00C331AD"/>
    <w:rsid w:val="00C36DAC"/>
    <w:rsid w:val="00C974E9"/>
    <w:rsid w:val="00CB0E40"/>
    <w:rsid w:val="00E34881"/>
    <w:rsid w:val="00EE6BF4"/>
    <w:rsid w:val="00EF5CFA"/>
    <w:rsid w:val="00F55F46"/>
    <w:rsid w:val="00F578B7"/>
    <w:rsid w:val="00F763CE"/>
    <w:rsid w:val="00FD0736"/>
    <w:rsid w:val="01CA18D2"/>
    <w:rsid w:val="022B0F19"/>
    <w:rsid w:val="035427FA"/>
    <w:rsid w:val="04AF6F74"/>
    <w:rsid w:val="04E821AA"/>
    <w:rsid w:val="06162243"/>
    <w:rsid w:val="0A053062"/>
    <w:rsid w:val="0AB56D90"/>
    <w:rsid w:val="0D4869A1"/>
    <w:rsid w:val="0DE34399"/>
    <w:rsid w:val="0DE82B49"/>
    <w:rsid w:val="0F575C2A"/>
    <w:rsid w:val="113217E0"/>
    <w:rsid w:val="13665CF9"/>
    <w:rsid w:val="16BD2D87"/>
    <w:rsid w:val="19545511"/>
    <w:rsid w:val="1A5348A7"/>
    <w:rsid w:val="1B22309D"/>
    <w:rsid w:val="1B424ADC"/>
    <w:rsid w:val="1B5D67D0"/>
    <w:rsid w:val="1C9457A5"/>
    <w:rsid w:val="1D2151DC"/>
    <w:rsid w:val="1D6D4435"/>
    <w:rsid w:val="1DE54342"/>
    <w:rsid w:val="1E322696"/>
    <w:rsid w:val="1F6A2B6C"/>
    <w:rsid w:val="21CB0B93"/>
    <w:rsid w:val="221C1533"/>
    <w:rsid w:val="223B63AD"/>
    <w:rsid w:val="22FC3CC3"/>
    <w:rsid w:val="23AA0EFD"/>
    <w:rsid w:val="23C12633"/>
    <w:rsid w:val="247578BD"/>
    <w:rsid w:val="27164CA8"/>
    <w:rsid w:val="28091124"/>
    <w:rsid w:val="289C2917"/>
    <w:rsid w:val="2A373FFE"/>
    <w:rsid w:val="2B66528F"/>
    <w:rsid w:val="2C29284E"/>
    <w:rsid w:val="2C4B3E88"/>
    <w:rsid w:val="2C947940"/>
    <w:rsid w:val="2D8F46B0"/>
    <w:rsid w:val="2E51195A"/>
    <w:rsid w:val="3034614E"/>
    <w:rsid w:val="30DC4FC6"/>
    <w:rsid w:val="3202725A"/>
    <w:rsid w:val="3316226B"/>
    <w:rsid w:val="33E40064"/>
    <w:rsid w:val="34604F1D"/>
    <w:rsid w:val="363E7C79"/>
    <w:rsid w:val="37423926"/>
    <w:rsid w:val="37CE388A"/>
    <w:rsid w:val="38CE78EE"/>
    <w:rsid w:val="3915103F"/>
    <w:rsid w:val="394F0CC5"/>
    <w:rsid w:val="3E2C1B98"/>
    <w:rsid w:val="3E9F2D5B"/>
    <w:rsid w:val="3F150CA9"/>
    <w:rsid w:val="3F19380F"/>
    <w:rsid w:val="3FD45B34"/>
    <w:rsid w:val="41C042B4"/>
    <w:rsid w:val="43405AA0"/>
    <w:rsid w:val="43D01CFC"/>
    <w:rsid w:val="453D1C04"/>
    <w:rsid w:val="46BC583B"/>
    <w:rsid w:val="470B6133"/>
    <w:rsid w:val="474A22DE"/>
    <w:rsid w:val="4A1B6ABD"/>
    <w:rsid w:val="4A6F51E7"/>
    <w:rsid w:val="4C642672"/>
    <w:rsid w:val="4FC55BE4"/>
    <w:rsid w:val="527C11E4"/>
    <w:rsid w:val="530C4E64"/>
    <w:rsid w:val="530F3135"/>
    <w:rsid w:val="532D5642"/>
    <w:rsid w:val="54DB3A8C"/>
    <w:rsid w:val="564E344F"/>
    <w:rsid w:val="59440008"/>
    <w:rsid w:val="59DC38F4"/>
    <w:rsid w:val="5A202B08"/>
    <w:rsid w:val="5B227780"/>
    <w:rsid w:val="5BDB7A2A"/>
    <w:rsid w:val="5C13654C"/>
    <w:rsid w:val="5DA95F03"/>
    <w:rsid w:val="5EA16081"/>
    <w:rsid w:val="5FAB5EBF"/>
    <w:rsid w:val="60FF3B12"/>
    <w:rsid w:val="618276FA"/>
    <w:rsid w:val="61CF7137"/>
    <w:rsid w:val="62AD49EE"/>
    <w:rsid w:val="62E04C26"/>
    <w:rsid w:val="655C2E84"/>
    <w:rsid w:val="68717953"/>
    <w:rsid w:val="6ADF5585"/>
    <w:rsid w:val="6B270778"/>
    <w:rsid w:val="6B9D5970"/>
    <w:rsid w:val="6D4A722B"/>
    <w:rsid w:val="6DCB2EE3"/>
    <w:rsid w:val="6DE46689"/>
    <w:rsid w:val="6E0B5463"/>
    <w:rsid w:val="6EA45239"/>
    <w:rsid w:val="712C27CA"/>
    <w:rsid w:val="71AB5682"/>
    <w:rsid w:val="741914B9"/>
    <w:rsid w:val="74550BCE"/>
    <w:rsid w:val="757E4AAC"/>
    <w:rsid w:val="76BF2039"/>
    <w:rsid w:val="775C20C1"/>
    <w:rsid w:val="777A1A52"/>
    <w:rsid w:val="78CD45AA"/>
    <w:rsid w:val="79E25F5E"/>
    <w:rsid w:val="7A7638E6"/>
    <w:rsid w:val="7BB85963"/>
    <w:rsid w:val="7D085BBD"/>
    <w:rsid w:val="7F73644D"/>
    <w:rsid w:val="7F9053B6"/>
    <w:rsid w:val="7FD42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3"/>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纯文本1"/>
    <w:basedOn w:val="1"/>
    <w:qFormat/>
    <w:uiPriority w:val="0"/>
    <w:pPr>
      <w:ind w:firstLine="964" w:firstLineChars="200"/>
    </w:pPr>
    <w:rPr>
      <w:rFonts w:ascii="宋体" w:hAnsi="宋体" w:eastAsia="仿宋" w:cs="Times New Roman"/>
      <w:sz w:val="21"/>
    </w:rPr>
  </w:style>
  <w:style w:type="paragraph" w:styleId="4">
    <w:name w:val="Normal Indent"/>
    <w:basedOn w:val="1"/>
    <w:next w:val="1"/>
    <w:qFormat/>
    <w:uiPriority w:val="0"/>
    <w:pPr>
      <w:ind w:firstLine="420" w:firstLineChars="200"/>
    </w:pPr>
    <w:rPr>
      <w:rFonts w:ascii="仿宋_GB2312" w:hAnsi="仿宋_GB2312" w:eastAsia="仿宋_GB2312" w:cstheme="minorBidi"/>
      <w:sz w:val="32"/>
    </w:rPr>
  </w:style>
  <w:style w:type="paragraph" w:styleId="5">
    <w:name w:val="Body Text"/>
    <w:basedOn w:val="1"/>
    <w:next w:val="1"/>
    <w:qFormat/>
    <w:uiPriority w:val="0"/>
    <w:pPr>
      <w:widowControl/>
      <w:spacing w:before="100" w:beforeAutospacing="1" w:after="100" w:afterAutospacing="1"/>
      <w:jc w:val="left"/>
    </w:pPr>
    <w:rPr>
      <w:rFonts w:ascii="宋体" w:hAnsi="宋体" w:cs="宋体"/>
      <w:kern w:val="0"/>
      <w:sz w:val="24"/>
    </w:rPr>
  </w:style>
  <w:style w:type="paragraph" w:styleId="6">
    <w:name w:val="Body Text Indent"/>
    <w:basedOn w:val="1"/>
    <w:next w:val="4"/>
    <w:unhideWhenUsed/>
    <w:qFormat/>
    <w:uiPriority w:val="99"/>
    <w:pPr>
      <w:spacing w:after="120"/>
      <w:ind w:left="420" w:leftChars="200"/>
    </w:pPr>
  </w:style>
  <w:style w:type="paragraph" w:styleId="7">
    <w:name w:val="toc 5"/>
    <w:basedOn w:val="1"/>
    <w:next w:val="1"/>
    <w:qFormat/>
    <w:uiPriority w:val="0"/>
    <w:pPr>
      <w:ind w:left="1680" w:leftChars="800"/>
    </w:pPr>
    <w:rPr>
      <w:rFonts w:ascii="Times New Roman" w:hAnsi="Times New Roman"/>
      <w:szCs w:val="21"/>
    </w:rPr>
  </w:style>
  <w:style w:type="paragraph" w:styleId="8">
    <w:name w:val="Plain Text"/>
    <w:basedOn w:val="1"/>
    <w:qFormat/>
    <w:uiPriority w:val="0"/>
    <w:rPr>
      <w:rFonts w:ascii="宋体" w:hAnsi="Courier New" w:cs="Courier New"/>
      <w:szCs w:val="21"/>
    </w:rPr>
  </w:style>
  <w:style w:type="paragraph" w:styleId="9">
    <w:name w:val="Body Text Indent 2"/>
    <w:basedOn w:val="1"/>
    <w:link w:val="35"/>
    <w:qFormat/>
    <w:uiPriority w:val="0"/>
    <w:pPr>
      <w:spacing w:after="120" w:line="480" w:lineRule="auto"/>
      <w:ind w:left="420" w:leftChars="200"/>
    </w:pPr>
    <w:rPr>
      <w:rFonts w:ascii="Calibri" w:hAnsi="Calibri" w:eastAsia="宋体" w:cs="黑体"/>
    </w:rPr>
  </w:style>
  <w:style w:type="paragraph" w:styleId="10">
    <w:name w:val="Balloon Text"/>
    <w:basedOn w:val="1"/>
    <w:link w:val="34"/>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2"/>
    <w:basedOn w:val="1"/>
    <w:next w:val="1"/>
    <w:qFormat/>
    <w:uiPriority w:val="0"/>
    <w:pPr>
      <w:ind w:left="420" w:leftChars="200"/>
    </w:pPr>
    <w:rPr>
      <w:rFonts w:ascii="Times New Roman" w:hAnsi="Times New Roman" w:cs="黑体"/>
    </w:rPr>
  </w:style>
  <w:style w:type="paragraph" w:styleId="14">
    <w:name w:val="Body Text 2"/>
    <w:basedOn w:val="1"/>
    <w:qFormat/>
    <w:uiPriority w:val="0"/>
    <w:pPr>
      <w:spacing w:after="120" w:line="480" w:lineRule="auto"/>
    </w:pPr>
    <w:rPr>
      <w:rFonts w:ascii="Times New Roman" w:hAnsi="Times New Roman"/>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qFormat/>
    <w:uiPriority w:val="0"/>
    <w:pPr>
      <w:spacing w:before="100" w:beforeAutospacing="1" w:after="100" w:afterAutospacing="1"/>
      <w:jc w:val="left"/>
    </w:pPr>
    <w:rPr>
      <w:rFonts w:ascii="Calibri" w:hAnsi="Calibri"/>
      <w:kern w:val="0"/>
      <w:sz w:val="24"/>
    </w:rPr>
  </w:style>
  <w:style w:type="paragraph" w:styleId="17">
    <w:name w:val="Body Text First Indent"/>
    <w:basedOn w:val="5"/>
    <w:qFormat/>
    <w:uiPriority w:val="0"/>
    <w:pPr>
      <w:ind w:firstLine="420" w:firstLineChars="100"/>
    </w:pPr>
  </w:style>
  <w:style w:type="paragraph" w:styleId="18">
    <w:name w:val="Body Text First Indent 2"/>
    <w:basedOn w:val="6"/>
    <w:next w:val="1"/>
    <w:unhideWhenUsed/>
    <w:qFormat/>
    <w:uiPriority w:val="99"/>
    <w:pPr>
      <w:ind w:firstLine="420" w:firstLineChars="200"/>
    </w:p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rFonts w:ascii="Times New Roman" w:hAnsi="Times New Roman" w:eastAsia="宋体" w:cs="Times New Roman"/>
      <w:b/>
    </w:rPr>
  </w:style>
  <w:style w:type="character" w:styleId="23">
    <w:name w:val="page number"/>
    <w:basedOn w:val="21"/>
    <w:qFormat/>
    <w:uiPriority w:val="0"/>
  </w:style>
  <w:style w:type="character" w:styleId="24">
    <w:name w:val="Hyperlink"/>
    <w:basedOn w:val="21"/>
    <w:semiHidden/>
    <w:unhideWhenUsed/>
    <w:qFormat/>
    <w:uiPriority w:val="99"/>
    <w:rPr>
      <w:color w:val="0000FF"/>
      <w:u w:val="single"/>
    </w:rPr>
  </w:style>
  <w:style w:type="paragraph" w:customStyle="1" w:styleId="25">
    <w:name w:val="引文目录标题1"/>
    <w:basedOn w:val="1"/>
    <w:next w:val="1"/>
    <w:qFormat/>
    <w:uiPriority w:val="0"/>
    <w:rPr>
      <w:rFonts w:ascii="Cambria" w:hAnsi="Cambria" w:cs="黑体"/>
      <w:sz w:val="24"/>
    </w:rPr>
  </w:style>
  <w:style w:type="paragraph" w:customStyle="1" w:styleId="26">
    <w:name w:val="Body text|1"/>
    <w:basedOn w:val="1"/>
    <w:qFormat/>
    <w:uiPriority w:val="0"/>
    <w:pPr>
      <w:spacing w:after="430" w:line="446" w:lineRule="auto"/>
      <w:ind w:firstLine="400"/>
    </w:pPr>
    <w:rPr>
      <w:rFonts w:ascii="宋体" w:hAnsi="宋体" w:eastAsia="宋体" w:cs="宋体"/>
      <w:sz w:val="28"/>
      <w:szCs w:val="28"/>
      <w:lang w:val="zh-TW" w:eastAsia="zh-TW" w:bidi="zh-TW"/>
    </w:rPr>
  </w:style>
  <w:style w:type="character" w:customStyle="1" w:styleId="27">
    <w:name w:val="font41"/>
    <w:basedOn w:val="21"/>
    <w:qFormat/>
    <w:uiPriority w:val="0"/>
    <w:rPr>
      <w:rFonts w:hint="default" w:ascii="Times New Roman" w:hAnsi="Times New Roman" w:cs="Times New Roman"/>
      <w:color w:val="000000"/>
      <w:sz w:val="16"/>
      <w:szCs w:val="16"/>
      <w:u w:val="none"/>
    </w:rPr>
  </w:style>
  <w:style w:type="character" w:customStyle="1" w:styleId="28">
    <w:name w:val="font51"/>
    <w:basedOn w:val="21"/>
    <w:qFormat/>
    <w:uiPriority w:val="0"/>
    <w:rPr>
      <w:rFonts w:hint="eastAsia" w:ascii="宋体" w:hAnsi="宋体" w:eastAsia="宋体" w:cs="宋体"/>
      <w:color w:val="000000"/>
      <w:sz w:val="16"/>
      <w:szCs w:val="16"/>
      <w:u w:val="none"/>
    </w:rPr>
  </w:style>
  <w:style w:type="character" w:customStyle="1" w:styleId="29">
    <w:name w:val="font31"/>
    <w:basedOn w:val="21"/>
    <w:qFormat/>
    <w:uiPriority w:val="0"/>
    <w:rPr>
      <w:rFonts w:hint="eastAsia" w:ascii="宋体" w:hAnsi="宋体" w:eastAsia="宋体" w:cs="宋体"/>
      <w:color w:val="FF0000"/>
      <w:sz w:val="16"/>
      <w:szCs w:val="16"/>
      <w:u w:val="none"/>
    </w:rPr>
  </w:style>
  <w:style w:type="character" w:customStyle="1" w:styleId="30">
    <w:name w:val="font61"/>
    <w:basedOn w:val="21"/>
    <w:qFormat/>
    <w:uiPriority w:val="0"/>
    <w:rPr>
      <w:rFonts w:hint="eastAsia" w:ascii="宋体" w:hAnsi="宋体" w:eastAsia="宋体" w:cs="宋体"/>
      <w:color w:val="000000"/>
      <w:sz w:val="20"/>
      <w:szCs w:val="20"/>
      <w:u w:val="none"/>
    </w:rPr>
  </w:style>
  <w:style w:type="character" w:customStyle="1" w:styleId="31">
    <w:name w:val="font01"/>
    <w:basedOn w:val="21"/>
    <w:qFormat/>
    <w:uiPriority w:val="0"/>
    <w:rPr>
      <w:rFonts w:hint="eastAsia" w:ascii="宋体" w:hAnsi="宋体" w:eastAsia="宋体" w:cs="宋体"/>
      <w:color w:val="333333"/>
      <w:sz w:val="20"/>
      <w:szCs w:val="20"/>
      <w:u w:val="none"/>
    </w:rPr>
  </w:style>
  <w:style w:type="character" w:customStyle="1" w:styleId="32">
    <w:name w:val="font11"/>
    <w:basedOn w:val="21"/>
    <w:qFormat/>
    <w:uiPriority w:val="0"/>
    <w:rPr>
      <w:rFonts w:hint="eastAsia" w:ascii="宋体" w:hAnsi="宋体" w:eastAsia="宋体" w:cs="宋体"/>
      <w:color w:val="000000"/>
      <w:sz w:val="20"/>
      <w:szCs w:val="20"/>
      <w:u w:val="none"/>
    </w:rPr>
  </w:style>
  <w:style w:type="paragraph" w:customStyle="1" w:styleId="33">
    <w:name w:val="WPSOffice手动目录 1"/>
    <w:basedOn w:val="1"/>
    <w:next w:val="18"/>
    <w:qFormat/>
    <w:uiPriority w:val="0"/>
    <w:pPr>
      <w:widowControl/>
      <w:jc w:val="left"/>
    </w:pPr>
    <w:rPr>
      <w:rFonts w:ascii="Times New Roman" w:hAnsi="Times New Roman" w:eastAsia="宋体" w:cs="Times New Roman"/>
      <w:kern w:val="0"/>
      <w:sz w:val="20"/>
      <w:szCs w:val="20"/>
    </w:rPr>
  </w:style>
  <w:style w:type="character" w:customStyle="1" w:styleId="34">
    <w:name w:val="批注框文本 Char"/>
    <w:basedOn w:val="21"/>
    <w:link w:val="10"/>
    <w:qFormat/>
    <w:uiPriority w:val="0"/>
    <w:rPr>
      <w:rFonts w:asciiTheme="minorHAnsi" w:hAnsiTheme="minorHAnsi" w:eastAsiaTheme="minorEastAsia" w:cstheme="minorBidi"/>
      <w:kern w:val="2"/>
      <w:sz w:val="18"/>
      <w:szCs w:val="18"/>
    </w:rPr>
  </w:style>
  <w:style w:type="character" w:customStyle="1" w:styleId="35">
    <w:name w:val="正文文本缩进 2 Char"/>
    <w:basedOn w:val="21"/>
    <w:link w:val="9"/>
    <w:qFormat/>
    <w:uiPriority w:val="0"/>
    <w:rPr>
      <w:rFonts w:ascii="Calibri" w:hAnsi="Calibri" w:cs="黑体"/>
      <w:kern w:val="2"/>
      <w:sz w:val="21"/>
      <w:szCs w:val="24"/>
    </w:rPr>
  </w:style>
  <w:style w:type="paragraph" w:customStyle="1" w:styleId="36">
    <w:name w:val="列出段落1"/>
    <w:basedOn w:val="1"/>
    <w:unhideWhenUsed/>
    <w:qFormat/>
    <w:uiPriority w:val="99"/>
    <w:pPr>
      <w:ind w:firstLine="420" w:firstLineChars="200"/>
    </w:pPr>
    <w:rPr>
      <w:rFonts w:ascii="Calibri" w:hAnsi="Calibri" w:eastAsia="宋体" w:cs="黑体"/>
    </w:rPr>
  </w:style>
  <w:style w:type="paragraph" w:customStyle="1" w:styleId="37">
    <w:name w:val="List Paragraph"/>
    <w:basedOn w:val="1"/>
    <w:unhideWhenUsed/>
    <w:qFormat/>
    <w:uiPriority w:val="99"/>
    <w:pPr>
      <w:ind w:firstLine="420" w:firstLineChars="200"/>
    </w:pPr>
  </w:style>
  <w:style w:type="paragraph" w:styleId="3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Default"/>
    <w:basedOn w:val="40"/>
    <w:next w:val="1"/>
    <w:qFormat/>
    <w:uiPriority w:val="0"/>
    <w:pPr>
      <w:widowControl w:val="0"/>
      <w:autoSpaceDE w:val="0"/>
      <w:autoSpaceDN w:val="0"/>
      <w:adjustRightInd w:val="0"/>
    </w:pPr>
    <w:rPr>
      <w:rFonts w:ascii="Calibri" w:hAnsi="Calibri" w:eastAsia="仿宋_GB2312" w:cs="Times New Roman"/>
      <w:color w:val="000000"/>
      <w:sz w:val="24"/>
      <w:szCs w:val="32"/>
      <w:lang w:val="en-US" w:eastAsia="zh-CN" w:bidi="ar-SA"/>
    </w:rPr>
  </w:style>
  <w:style w:type="paragraph" w:customStyle="1" w:styleId="40">
    <w:name w:val="正文1"/>
    <w:qFormat/>
    <w:uiPriority w:val="0"/>
    <w:pPr>
      <w:jc w:val="both"/>
    </w:pPr>
    <w:rPr>
      <w:rFonts w:ascii="Times New Roman" w:hAnsi="Times New Roman" w:eastAsia="宋体" w:cs="Times New Roman"/>
      <w:sz w:val="32"/>
      <w:szCs w:val="32"/>
      <w:lang w:val="en-US" w:eastAsia="zh-CN" w:bidi="ar-SA"/>
    </w:rPr>
  </w:style>
  <w:style w:type="paragraph" w:customStyle="1" w:styleId="41">
    <w:name w:val="Normal Indent"/>
    <w:basedOn w:val="1"/>
    <w:qFormat/>
    <w:uiPriority w:val="0"/>
    <w:pPr>
      <w:ind w:firstLine="420" w:firstLineChars="200"/>
    </w:pPr>
    <w:rPr>
      <w:rFonts w:eastAsia="仿宋"/>
      <w:sz w:val="32"/>
    </w:rPr>
  </w:style>
  <w:style w:type="character" w:customStyle="1" w:styleId="42">
    <w:name w:val="font21"/>
    <w:basedOn w:val="21"/>
    <w:qFormat/>
    <w:uiPriority w:val="0"/>
    <w:rPr>
      <w:rFonts w:hint="eastAsia" w:ascii="黑体" w:hAnsi="宋体" w:eastAsia="黑体" w:cs="黑体"/>
      <w:color w:val="000000"/>
      <w:sz w:val="28"/>
      <w:szCs w:val="28"/>
      <w:u w:val="none"/>
    </w:rPr>
  </w:style>
  <w:style w:type="character" w:customStyle="1" w:styleId="43">
    <w:name w:val="NormalCharacter"/>
    <w:link w:val="1"/>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header" Target="header13.xml"/><Relationship Id="rId24" Type="http://schemas.openxmlformats.org/officeDocument/2006/relationships/header" Target="header12.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725189-E5EB-4380-BBFB-9D9925CF99B6}">
  <ds:schemaRefs/>
</ds:datastoreItem>
</file>

<file path=docProps/app.xml><?xml version="1.0" encoding="utf-8"?>
<Properties xmlns="http://schemas.openxmlformats.org/officeDocument/2006/extended-properties" xmlns:vt="http://schemas.openxmlformats.org/officeDocument/2006/docPropsVTypes">
  <Template>Normal</Template>
  <Pages>49</Pages>
  <Words>21498</Words>
  <Characters>21911</Characters>
  <Lines>82</Lines>
  <Paragraphs>23</Paragraphs>
  <TotalTime>185</TotalTime>
  <ScaleCrop>false</ScaleCrop>
  <LinksUpToDate>false</LinksUpToDate>
  <CharactersWithSpaces>22203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2024-03-25T01:54:00Z</cp:lastPrinted>
  <dcterms:modified xsi:type="dcterms:W3CDTF">2024-07-16T07:02:59Z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25FD48E5D1CA448798D3A3CA85E1B908_13</vt:lpwstr>
  </property>
</Properties>
</file>