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drawing>
          <wp:inline distT="0" distB="0" distL="114300" distR="114300">
            <wp:extent cx="2456815" cy="2456815"/>
            <wp:effectExtent l="0" t="0" r="0" b="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25" cstate="print"/>
                    <a:stretch>
                      <a:fillRect/>
                    </a:stretch>
                  </pic:blipFill>
                  <pic:spPr>
                    <a:xfrm>
                      <a:off x="0" y="0"/>
                      <a:ext cx="2456815" cy="2456815"/>
                    </a:xfrm>
                    <a:prstGeom prst="rect">
                      <a:avLst/>
                    </a:prstGeom>
                  </pic:spPr>
                </pic:pic>
              </a:graphicData>
            </a:graphic>
          </wp:inline>
        </w:drawing>
      </w:r>
    </w:p>
    <w:p/>
    <w:p>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118110</wp:posOffset>
                </wp:positionV>
                <wp:extent cx="532320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23205" cy="1828800"/>
                        </a:xfrm>
                        <a:prstGeom prst="rect">
                          <a:avLst/>
                        </a:prstGeom>
                        <a:noFill/>
                        <a:ln w="6350">
                          <a:noFill/>
                        </a:ln>
                        <a:effectLst/>
                      </wps:spPr>
                      <wps:txbx>
                        <w:txbxContent>
                          <w:p>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0pt;margin-top:9.3pt;height:144pt;width:419.15pt;z-index:251659264;mso-width-relative:page;mso-height-relative:page;" filled="f" stroked="f" coordsize="21600,21600" o:gfxdata="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JQj&#10;mdMAAAAHAQAADwAAAAAAAAABACAAAAAiAAAAZHJzL2Rvd25yZXYueG1sUEsBAhQAFAAAAAgAh07i&#10;QHYCDLTSAgAAjgUAAA4AAAAAAAAAAQAgAAAAIgEAAGRycy9lMm9Eb2MueG1sUEsFBgAAAAAGAAYA&#10;WQEAAGYGAAAAAA==&#10;">
                <v:fill on="f" focussize="0,0"/>
                <v:stroke on="f" weight="0.5pt"/>
                <v:imagedata o:title=""/>
                <o:lock v:ext="edit" aspectratio="f"/>
                <v:textbox style="mso-fit-shape-to-text:t;">
                  <w:txbxContent>
                    <w:p>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v:textbox>
              </v:shape>
            </w:pict>
          </mc:Fallback>
        </mc:AlternateContent>
      </w:r>
    </w:p>
    <w:p/>
    <w:p/>
    <w:p/>
    <w:p/>
    <w:p>
      <w:pPr>
        <w:spacing w:line="400" w:lineRule="exact"/>
        <w:jc w:val="center"/>
        <w:rPr>
          <w:spacing w:val="34"/>
          <w:sz w:val="32"/>
          <w:szCs w:val="32"/>
        </w:rPr>
      </w:pPr>
    </w:p>
    <w:p>
      <w:pPr>
        <w:spacing w:line="400" w:lineRule="exact"/>
        <w:jc w:val="center"/>
        <w:rPr>
          <w:b/>
          <w:bCs/>
          <w:spacing w:val="34"/>
          <w:sz w:val="32"/>
          <w:szCs w:val="32"/>
        </w:rPr>
      </w:pPr>
      <w:r>
        <w:rPr>
          <w:rFonts w:hint="eastAsia"/>
          <w:b/>
          <w:bCs/>
          <w:spacing w:val="34"/>
          <w:sz w:val="32"/>
          <w:szCs w:val="32"/>
        </w:rPr>
        <w:t>GAZETTE OF THE PEOPLE</w:t>
      </w:r>
      <w:r>
        <w:rPr>
          <w:b/>
          <w:bCs/>
          <w:spacing w:val="34"/>
          <w:sz w:val="32"/>
          <w:szCs w:val="32"/>
        </w:rPr>
        <w:t>’</w:t>
      </w:r>
      <w:r>
        <w:rPr>
          <w:rFonts w:hint="eastAsia"/>
          <w:b/>
          <w:bCs/>
          <w:spacing w:val="34"/>
          <w:sz w:val="32"/>
          <w:szCs w:val="32"/>
        </w:rPr>
        <w:t>S GOVERRNMRNT</w:t>
      </w:r>
    </w:p>
    <w:p>
      <w:pPr>
        <w:spacing w:line="400" w:lineRule="exact"/>
        <w:jc w:val="center"/>
        <w:rPr>
          <w:b/>
          <w:bCs/>
          <w:spacing w:val="34"/>
          <w:sz w:val="32"/>
          <w:szCs w:val="32"/>
        </w:rPr>
      </w:pPr>
      <w:r>
        <w:rPr>
          <w:rFonts w:hint="eastAsia"/>
          <w:b/>
          <w:bCs/>
          <w:spacing w:val="34"/>
          <w:sz w:val="32"/>
          <w:szCs w:val="32"/>
        </w:rPr>
        <w:t>OF CHANGJIANG DISTRICT</w:t>
      </w:r>
    </w:p>
    <w:p/>
    <w:p/>
    <w:p/>
    <w:p/>
    <w:p/>
    <w:p/>
    <w:p/>
    <w:p/>
    <w:p/>
    <w:p/>
    <w:p/>
    <w:p/>
    <w:p/>
    <w:p>
      <w:r>
        <mc:AlternateContent>
          <mc:Choice Requires="wps">
            <w:drawing>
              <wp:anchor distT="0" distB="0" distL="114300" distR="114300" simplePos="0" relativeHeight="251660288" behindDoc="0" locked="0" layoutInCell="1" allowOverlap="1">
                <wp:simplePos x="0" y="0"/>
                <wp:positionH relativeFrom="column">
                  <wp:posOffset>1880235</wp:posOffset>
                </wp:positionH>
                <wp:positionV relativeFrom="paragraph">
                  <wp:posOffset>69215</wp:posOffset>
                </wp:positionV>
                <wp:extent cx="149669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96695" cy="1828800"/>
                        </a:xfrm>
                        <a:prstGeom prst="rect">
                          <a:avLst/>
                        </a:prstGeom>
                        <a:noFill/>
                        <a:ln w="6350">
                          <a:noFill/>
                        </a:ln>
                        <a:effectLst/>
                      </wps:spPr>
                      <wps:txbx>
                        <w:txbxContent>
                          <w:p>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148.05pt;margin-top:5.45pt;height:144pt;width:117.85pt;z-index:251660288;mso-width-relative:page;mso-height-relative:page;" filled="f" stroked="f" coordsize="21600,21600" o:gfxdata="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o1H7PtUAAAAKAQAADwAAAAAAAAABACAAAAAiAAAAZHJzL2Rvd25yZXYueG1sUEsBAhQAFAAAAAgA&#10;h07iQEe1ysPTAgAAjgUAAA4AAAAAAAAAAQAgAAAAJAEAAGRycy9lMm9Eb2MueG1sUEsFBgAAAAAG&#10;AAYAWQEAAGkGAAAAAA==&#10;">
                <v:fill on="f" focussize="0,0"/>
                <v:stroke on="f" weight="0.5pt"/>
                <v:imagedata o:title=""/>
                <o:lock v:ext="edit" aspectratio="f"/>
                <v:textbox style="mso-fit-shape-to-text:t;">
                  <w:txbxContent>
                    <w:p>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3</w:t>
                      </w:r>
                    </w:p>
                  </w:txbxContent>
                </v:textbox>
              </v:shape>
            </w:pict>
          </mc:Fallback>
        </mc:AlternateContent>
      </w:r>
    </w:p>
    <w:p/>
    <w:p/>
    <w:p>
      <w:pPr>
        <w:jc w:val="center"/>
      </w:pPr>
    </w:p>
    <w:p>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5</w:t>
      </w:r>
      <w:r>
        <w:rPr>
          <w:rFonts w:hint="eastAsia" w:ascii="黑体" w:hAnsi="黑体" w:eastAsia="黑体" w:cs="黑体"/>
          <w:b/>
          <w:bCs/>
          <w:color w:val="FF0000"/>
          <w:sz w:val="32"/>
          <w:szCs w:val="32"/>
        </w:rPr>
        <w:t>期（总第</w:t>
      </w:r>
      <w:r>
        <w:rPr>
          <w:rFonts w:hint="eastAsia" w:ascii="黑体" w:hAnsi="黑体" w:eastAsia="黑体" w:cs="黑体"/>
          <w:b/>
          <w:bCs/>
          <w:color w:val="FF0000"/>
          <w:sz w:val="32"/>
          <w:szCs w:val="32"/>
          <w:lang w:val="en-US" w:eastAsia="zh-CN"/>
        </w:rPr>
        <w:t>18</w:t>
      </w:r>
      <w:r>
        <w:rPr>
          <w:rFonts w:hint="eastAsia" w:ascii="黑体" w:hAnsi="黑体" w:eastAsia="黑体" w:cs="黑体"/>
          <w:b/>
          <w:bCs/>
          <w:color w:val="FF0000"/>
          <w:sz w:val="32"/>
          <w:szCs w:val="32"/>
        </w:rPr>
        <w:t>期）</w:t>
      </w:r>
    </w:p>
    <w:p>
      <w:pPr>
        <w:rPr>
          <w:rFonts w:ascii="黑体" w:hAnsi="黑体" w:eastAsia="黑体" w:cs="黑体"/>
          <w:b/>
          <w:bCs/>
          <w:color w:val="FF0000"/>
          <w:sz w:val="32"/>
          <w:szCs w:val="32"/>
        </w:rPr>
        <w:sectPr>
          <w:footerReference r:id="rId4" w:type="default"/>
          <w:headerReference r:id="rId3" w:type="even"/>
          <w:footerReference r:id="rId5" w:type="even"/>
          <w:pgSz w:w="11906" w:h="16838"/>
          <w:pgMar w:top="1440" w:right="1800" w:bottom="1440" w:left="1800" w:header="851" w:footer="992" w:gutter="0"/>
          <w:pgNumType w:fmt="decimal"/>
          <w:cols w:space="425" w:num="1"/>
          <w:docGrid w:type="lines" w:linePitch="312" w:charSpace="0"/>
        </w:sectPr>
      </w:pPr>
    </w:p>
    <w:p>
      <w:pPr>
        <w:pStyle w:val="25"/>
        <w:spacing w:after="0" w:line="598" w:lineRule="exact"/>
        <w:ind w:firstLine="0"/>
        <w:jc w:val="center"/>
        <w:rPr>
          <w:b/>
          <w:bCs/>
          <w:color w:val="000000"/>
          <w:sz w:val="44"/>
          <w:szCs w:val="44"/>
          <w:lang w:eastAsia="zh-CN"/>
        </w:rPr>
      </w:pPr>
    </w:p>
    <w:p>
      <w:pPr>
        <w:pStyle w:val="25"/>
        <w:spacing w:after="0" w:line="598" w:lineRule="exact"/>
        <w:ind w:firstLine="0"/>
        <w:jc w:val="center"/>
        <w:rPr>
          <w:b/>
          <w:bCs/>
          <w:color w:val="000000"/>
          <w:sz w:val="44"/>
          <w:szCs w:val="44"/>
          <w:lang w:eastAsia="zh-CN"/>
        </w:rPr>
        <w:sectPr>
          <w:headerReference r:id="rId8" w:type="first"/>
          <w:headerReference r:id="rId6" w:type="default"/>
          <w:footerReference r:id="rId9" w:type="default"/>
          <w:headerReference r:id="rId7" w:type="even"/>
          <w:type w:val="continuous"/>
          <w:pgSz w:w="11906" w:h="16838"/>
          <w:pgMar w:top="1984" w:right="1531" w:bottom="1474" w:left="1531" w:header="1134" w:footer="850" w:gutter="0"/>
          <w:pgNumType w:fmt="decimal" w:start="1"/>
          <w:cols w:space="720" w:num="1"/>
          <w:titlePg/>
          <w:docGrid w:type="lines" w:linePitch="582" w:charSpace="0"/>
        </w:sect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r>
        <w:rPr>
          <w:rFonts w:ascii="Times New Roman" w:hAnsi="Times New Roman" w:eastAsia="方正小标宋简体"/>
          <w:color w:val="000000"/>
          <w:spacing w:val="11"/>
          <w:sz w:val="51"/>
          <w:szCs w:val="51"/>
        </w:rPr>
        <w:t xml:space="preserve">        </w:t>
      </w:r>
    </w:p>
    <w:p>
      <w:pPr>
        <w:tabs>
          <w:tab w:val="left" w:pos="8820"/>
        </w:tabs>
        <w:jc w:val="center"/>
        <w:rPr>
          <w:rFonts w:ascii="Times New Roman" w:hAnsi="Times New Roman" w:eastAsia="方正黑体_GBK"/>
          <w:color w:val="000000"/>
          <w:sz w:val="52"/>
          <w:szCs w:val="52"/>
        </w:rPr>
      </w:pPr>
      <w:r>
        <w:rPr>
          <w:rFonts w:hint="eastAsia" w:ascii="Times New Roman" w:hAnsi="Times New Roman" w:eastAsia="方正小标宋简体"/>
          <w:color w:val="000000"/>
          <w:spacing w:val="11"/>
          <w:sz w:val="51"/>
          <w:szCs w:val="51"/>
          <w:lang w:val="en-US" w:eastAsia="zh-CN"/>
        </w:rPr>
        <w:t xml:space="preserve">     </w:t>
      </w:r>
      <w:r>
        <w:rPr>
          <w:rFonts w:hint="eastAsia" w:ascii="Times New Roman" w:hAnsi="Times New Roman" w:eastAsia="方正小标宋简体"/>
          <w:color w:val="000000"/>
          <w:spacing w:val="11"/>
          <w:sz w:val="51"/>
          <w:szCs w:val="51"/>
        </w:rPr>
        <w:t>昌江区</w:t>
      </w:r>
      <w:r>
        <w:rPr>
          <w:rFonts w:ascii="Times New Roman" w:hAnsi="Times New Roman" w:eastAsia="方正小标宋简体"/>
          <w:color w:val="000000"/>
          <w:spacing w:val="11"/>
          <w:sz w:val="51"/>
          <w:szCs w:val="51"/>
        </w:rPr>
        <w:t>人民政府主管主办</w:t>
      </w:r>
    </w:p>
    <w:tbl>
      <w:tblPr>
        <w:tblStyle w:val="18"/>
        <w:tblW w:w="0" w:type="auto"/>
        <w:tblInd w:w="2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4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6516" w:type="dxa"/>
            <w:gridSpan w:val="2"/>
            <w:vAlign w:val="center"/>
          </w:tcPr>
          <w:p>
            <w:pPr>
              <w:spacing w:line="700" w:lineRule="exact"/>
              <w:jc w:val="center"/>
              <w:rPr>
                <w:rFonts w:ascii="Times New Roman" w:hAnsi="Times New Roman" w:eastAsia="微软雅黑"/>
                <w:color w:val="000000"/>
                <w:szCs w:val="21"/>
              </w:rPr>
            </w:pPr>
            <w:r>
              <w:rPr>
                <w:rFonts w:ascii="Times New Roman" w:hAnsi="Times New Roman" w:eastAsia="方正黑体_GBK"/>
                <w:b/>
                <w:bCs/>
                <w:color w:val="000000"/>
                <w:sz w:val="24"/>
              </w:rPr>
              <mc:AlternateContent>
                <mc:Choice Requires="wps">
                  <w:drawing>
                    <wp:anchor distT="0" distB="0" distL="114300" distR="114300" simplePos="0" relativeHeight="251664384" behindDoc="0" locked="0" layoutInCell="1" allowOverlap="1">
                      <wp:simplePos x="0" y="0"/>
                      <wp:positionH relativeFrom="column">
                        <wp:posOffset>-772795</wp:posOffset>
                      </wp:positionH>
                      <wp:positionV relativeFrom="paragraph">
                        <wp:posOffset>181610</wp:posOffset>
                      </wp:positionV>
                      <wp:extent cx="533400" cy="4619625"/>
                      <wp:effectExtent l="4445" t="4445" r="8255" b="11430"/>
                      <wp:wrapNone/>
                      <wp:docPr id="10" name="文本框 10"/>
                      <wp:cNvGraphicFramePr/>
                      <a:graphic xmlns:a="http://schemas.openxmlformats.org/drawingml/2006/main">
                        <a:graphicData uri="http://schemas.microsoft.com/office/word/2010/wordprocessingShape">
                          <wps:wsp>
                            <wps:cNvSpPr txBox="1"/>
                            <wps:spPr>
                              <a:xfrm>
                                <a:off x="1751330" y="2602230"/>
                                <a:ext cx="533400" cy="3686175"/>
                              </a:xfrm>
                              <a:prstGeom prst="rect">
                                <a:avLst/>
                              </a:prstGeom>
                              <a:solidFill>
                                <a:srgbClr val="FFFFFF"/>
                              </a:solidFill>
                              <a:ln w="6350">
                                <a:solidFill>
                                  <a:srgbClr val="FFFFFF"/>
                                </a:solidFill>
                              </a:ln>
                              <a:effectLst/>
                            </wps:spPr>
                            <wps:txbx>
                              <w:txbxContent>
                                <w:p>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5pt;margin-top:14.3pt;height:363.75pt;width:42pt;z-index:251664384;mso-width-relative:page;mso-height-relative:page;" fillcolor="#FFFFFF" filled="t" stroked="t" coordsize="21600,21600" o:gfxdata="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YFmbXAAAACwEAAA8AAAAAAAAAAQAgAAAAIgAAAGRycy9kb3ducmV2LnhtbFBLAQIUABQA&#10;AAAIAIdO4kCCQ8VJYwIAANYEAAAOAAAAAAAAAAEAIAAAACYBAABkcnMvZTJvRG9jLnhtbFBLBQYA&#10;AAAABgAGAFkBAAD7BQAAAAA=&#10;">
                      <v:fill on="t" focussize="0,0"/>
                      <v:stroke weight="0.5pt" color="#FFFFFF" joinstyle="round"/>
                      <v:imagedata o:title=""/>
                      <o:lock v:ext="edit" aspectratio="f"/>
                      <v:textbox style="layout-flow:vertical-ideographic;">
                        <w:txbxContent>
                          <w:p>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v:textbox>
                    </v:shape>
                  </w:pict>
                </mc:Fallback>
              </mc:AlternateContent>
            </w:r>
            <w:r>
              <w:rPr>
                <w:rFonts w:ascii="Times New Roman" w:hAnsi="Times New Roman" w:eastAsia="方正小标宋简体"/>
                <w:color w:val="000000"/>
              </w:rPr>
              <mc:AlternateContent>
                <mc:Choice Requires="wps">
                  <w:drawing>
                    <wp:anchor distT="0" distB="0" distL="114300" distR="114300" simplePos="0" relativeHeight="251661312" behindDoc="0" locked="0" layoutInCell="1" allowOverlap="1">
                      <wp:simplePos x="0" y="0"/>
                      <wp:positionH relativeFrom="column">
                        <wp:posOffset>-1692910</wp:posOffset>
                      </wp:positionH>
                      <wp:positionV relativeFrom="paragraph">
                        <wp:posOffset>-6350</wp:posOffset>
                      </wp:positionV>
                      <wp:extent cx="1060450" cy="55105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60450" cy="5510530"/>
                              </a:xfrm>
                              <a:prstGeom prst="rect">
                                <a:avLst/>
                              </a:prstGeom>
                              <a:noFill/>
                              <a:ln w="6350">
                                <a:noFill/>
                              </a:ln>
                              <a:effectLst/>
                            </wps:spPr>
                            <wps:txbx>
                              <w:txbxContent>
                                <w:p>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3pt;margin-top:-0.5pt;height:433.9pt;width:83.5pt;z-index:251661312;mso-width-relative:page;mso-height-relative:page;" filled="f" stroked="f" coordsize="21600,21600" o:gfxdata="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WNNV7aAAAACwEAAA8AAAAAAAAAAQAg&#10;AAAAIgAAAGRycy9kb3ducmV2LnhtbFBLAQIUABQAAAAIAIdO4kA/P1nkRQIAAHcEAAAOAAAAAAAA&#10;AAEAIAAAACkBAABkcnMvZTJvRG9jLnhtbFBLBQYAAAAABgAGAFkBAADgBQAAAAA=&#10;">
                      <v:fill on="f" focussize="0,0"/>
                      <v:stroke on="f" weight="0.5pt"/>
                      <v:imagedata o:title=""/>
                      <o:lock v:ext="edit" aspectratio="f"/>
                      <v:textbox style="layout-flow:vertical-ideographic;">
                        <w:txbxContent>
                          <w:p>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v:textbox>
                    </v:shape>
                  </w:pict>
                </mc:Fallback>
              </mc:AlternateContent>
            </w:r>
            <w:r>
              <w:rPr>
                <w:rFonts w:ascii="Times New Roman" w:hAnsi="Times New Roman" w:eastAsia="方正小标宋简体"/>
                <w:color w:val="000000"/>
                <w:sz w:val="44"/>
                <w:szCs w:val="44"/>
              </w:rPr>
              <w:t>目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1557" w:type="dxa"/>
            <w:vAlign w:val="center"/>
          </w:tcPr>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ascii="黑体" w:hAnsi="黑体" w:eastAsia="黑体" w:cs="黑体"/>
                <w:color w:val="000000"/>
                <w:spacing w:val="-11"/>
                <w:sz w:val="24"/>
              </w:rPr>
            </w:pPr>
            <w:r>
              <w:rPr>
                <w:rFonts w:hint="eastAsia" w:ascii="黑体" w:hAnsi="黑体" w:eastAsia="黑体" w:cs="黑体"/>
                <w:color w:val="000000"/>
                <w:spacing w:val="-11"/>
                <w:sz w:val="24"/>
              </w:rPr>
              <w:t>区人民政府</w:t>
            </w:r>
          </w:p>
          <w:p>
            <w:pPr>
              <w:spacing w:line="440" w:lineRule="exact"/>
              <w:jc w:val="center"/>
              <w:rPr>
                <w:rFonts w:ascii="Times New Roman" w:hAnsi="Times New Roman" w:eastAsia="方正黑体_GBK"/>
                <w:b/>
                <w:bCs/>
                <w:color w:val="000000"/>
                <w:sz w:val="24"/>
              </w:rPr>
            </w:pPr>
            <w:r>
              <w:rPr>
                <w:rFonts w:ascii="黑体" w:hAnsi="黑体" w:eastAsia="黑体" w:cs="黑体"/>
                <w:color w:val="000000"/>
                <w:sz w:val="44"/>
                <w:szCs w:val="44"/>
              </w:rPr>
              <mc:AlternateContent>
                <mc:Choice Requires="wps">
                  <w:drawing>
                    <wp:anchor distT="0" distB="0" distL="114300" distR="114300" simplePos="0" relativeHeight="251674624" behindDoc="0" locked="0" layoutInCell="1" allowOverlap="1">
                      <wp:simplePos x="0" y="0"/>
                      <wp:positionH relativeFrom="column">
                        <wp:posOffset>-1927225</wp:posOffset>
                      </wp:positionH>
                      <wp:positionV relativeFrom="paragraph">
                        <wp:posOffset>2376170</wp:posOffset>
                      </wp:positionV>
                      <wp:extent cx="1676400" cy="1151255"/>
                      <wp:effectExtent l="4445" t="4445" r="8255" b="12700"/>
                      <wp:wrapNone/>
                      <wp:docPr id="1" name="文本框 13"/>
                      <wp:cNvGraphicFramePr/>
                      <a:graphic xmlns:a="http://schemas.openxmlformats.org/drawingml/2006/main">
                        <a:graphicData uri="http://schemas.microsoft.com/office/word/2010/wordprocessingShape">
                          <wps:wsp>
                            <wps:cNvSpPr txBox="1"/>
                            <wps:spPr>
                              <a:xfrm>
                                <a:off x="2958465" y="8415655"/>
                                <a:ext cx="1676400" cy="1151255"/>
                              </a:xfrm>
                              <a:prstGeom prst="rect">
                                <a:avLst/>
                              </a:prstGeom>
                              <a:solidFill>
                                <a:srgbClr val="FFFFFF"/>
                              </a:solidFill>
                              <a:ln w="6350">
                                <a:solidFill>
                                  <a:srgbClr val="FFFFFF"/>
                                </a:solidFill>
                              </a:ln>
                              <a:effectLst/>
                            </wps:spPr>
                            <wps:txb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3</w:t>
                                  </w:r>
                                  <w:r>
                                    <w:rPr>
                                      <w:rFonts w:ascii="Times New Roman" w:hAnsi="Times New Roman" w:eastAsia="方正黑体_GBK"/>
                                      <w:szCs w:val="21"/>
                                    </w:rPr>
                                    <w:t>年</w:t>
                                  </w:r>
                                  <w:r>
                                    <w:rPr>
                                      <w:rFonts w:hint="eastAsia" w:ascii="Times New Roman" w:hAnsi="Times New Roman" w:eastAsia="方正黑体_GBK"/>
                                      <w:szCs w:val="21"/>
                                      <w:lang w:val="en-US" w:eastAsia="zh-CN"/>
                                    </w:rPr>
                                    <w:t>10</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3</w:t>
                                  </w:r>
                                  <w:r>
                                    <w:rPr>
                                      <w:rFonts w:ascii="Times New Roman" w:hAnsi="Times New Roman" w:eastAsia="方正黑体_GBK"/>
                                      <w:szCs w:val="21"/>
                                    </w:rPr>
                                    <w:t>年第</w:t>
                                  </w:r>
                                  <w:r>
                                    <w:rPr>
                                      <w:rFonts w:hint="eastAsia" w:ascii="Times New Roman" w:hAnsi="Times New Roman" w:eastAsia="方正黑体_GBK"/>
                                      <w:szCs w:val="21"/>
                                      <w:lang w:val="en-US" w:eastAsia="zh-CN"/>
                                    </w:rPr>
                                    <w:t>5</w:t>
                                  </w:r>
                                  <w:r>
                                    <w:rPr>
                                      <w:rFonts w:ascii="Times New Roman" w:hAnsi="Times New Roman" w:eastAsia="方正黑体_GBK"/>
                                      <w:szCs w:val="21"/>
                                    </w:rPr>
                                    <w:t>期</w:t>
                                  </w:r>
                                </w:p>
                                <w:p>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18</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151.75pt;margin-top:187.1pt;height:90.65pt;width:132pt;z-index:251674624;mso-width-relative:page;mso-height-relative:page;" fillcolor="#FFFFFF" filled="t" stroked="t" coordsize="21600,21600" o:gfxdata="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y9jurZAAAADAEAAA8AAAAAAAAAAQAgAAAAIgAAAGRycy9kb3ducmV2LnhtbFBL&#10;AQIUABQAAAAIAIdO4kA1uqMvZwIAANQEAAAOAAAAAAAAAAEAIAAAACgBAABkcnMvZTJvRG9jLnht&#10;bFBLBQYAAAAABgAGAFkBAAABBgAAAAA=&#10;">
                      <v:fill on="t" focussize="0,0"/>
                      <v:stroke weight="0.5pt" color="#FFFFFF" joinstyle="round"/>
                      <v:imagedata o:title=""/>
                      <o:lock v:ext="edit" aspectratio="f"/>
                      <v:textbo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3</w:t>
                            </w:r>
                            <w:r>
                              <w:rPr>
                                <w:rFonts w:ascii="Times New Roman" w:hAnsi="Times New Roman" w:eastAsia="方正黑体_GBK"/>
                                <w:szCs w:val="21"/>
                              </w:rPr>
                              <w:t>年</w:t>
                            </w:r>
                            <w:r>
                              <w:rPr>
                                <w:rFonts w:hint="eastAsia" w:ascii="Times New Roman" w:hAnsi="Times New Roman" w:eastAsia="方正黑体_GBK"/>
                                <w:szCs w:val="21"/>
                                <w:lang w:val="en-US" w:eastAsia="zh-CN"/>
                              </w:rPr>
                              <w:t>10</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3</w:t>
                            </w:r>
                            <w:r>
                              <w:rPr>
                                <w:rFonts w:ascii="Times New Roman" w:hAnsi="Times New Roman" w:eastAsia="方正黑体_GBK"/>
                                <w:szCs w:val="21"/>
                              </w:rPr>
                              <w:t>年第</w:t>
                            </w:r>
                            <w:r>
                              <w:rPr>
                                <w:rFonts w:hint="eastAsia" w:ascii="Times New Roman" w:hAnsi="Times New Roman" w:eastAsia="方正黑体_GBK"/>
                                <w:szCs w:val="21"/>
                                <w:lang w:val="en-US" w:eastAsia="zh-CN"/>
                              </w:rPr>
                              <w:t>5</w:t>
                            </w:r>
                            <w:r>
                              <w:rPr>
                                <w:rFonts w:ascii="Times New Roman" w:hAnsi="Times New Roman" w:eastAsia="方正黑体_GBK"/>
                                <w:szCs w:val="21"/>
                              </w:rPr>
                              <w:t>期</w:t>
                            </w:r>
                          </w:p>
                          <w:p>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18</w:t>
                            </w:r>
                            <w:r>
                              <w:rPr>
                                <w:rFonts w:ascii="Times New Roman" w:hAnsi="Times New Roman" w:eastAsia="方正黑体_GBK"/>
                                <w:szCs w:val="21"/>
                              </w:rPr>
                              <w:t>期）</w:t>
                            </w:r>
                          </w:p>
                        </w:txbxContent>
                      </v:textbox>
                    </v:shape>
                  </w:pict>
                </mc:Fallback>
              </mc:AlternateContent>
            </w:r>
            <w:r>
              <w:rPr>
                <w:rFonts w:ascii="黑体" w:hAnsi="黑体" w:eastAsia="黑体" w:cs="黑体"/>
                <w:color w:val="000000"/>
                <w:spacing w:val="-11"/>
                <w:sz w:val="24"/>
              </w:rPr>
              <mc:AlternateContent>
                <mc:Choice Requires="wps">
                  <w:drawing>
                    <wp:anchor distT="0" distB="0" distL="114300" distR="114300" simplePos="0" relativeHeight="251673600" behindDoc="0" locked="0" layoutInCell="1" allowOverlap="1">
                      <wp:simplePos x="0" y="0"/>
                      <wp:positionH relativeFrom="column">
                        <wp:posOffset>-1344295</wp:posOffset>
                      </wp:positionH>
                      <wp:positionV relativeFrom="paragraph">
                        <wp:posOffset>1244600</wp:posOffset>
                      </wp:positionV>
                      <wp:extent cx="533400" cy="1144270"/>
                      <wp:effectExtent l="5080" t="4445" r="7620" b="6985"/>
                      <wp:wrapNone/>
                      <wp:docPr id="11" name="文本框 11"/>
                      <wp:cNvGraphicFramePr/>
                      <a:graphic xmlns:a="http://schemas.openxmlformats.org/drawingml/2006/main">
                        <a:graphicData uri="http://schemas.microsoft.com/office/word/2010/wordprocessingShape">
                          <wps:wsp>
                            <wps:cNvSpPr txBox="1"/>
                            <wps:spPr>
                              <a:xfrm>
                                <a:off x="3527425" y="7025005"/>
                                <a:ext cx="533400" cy="1144270"/>
                              </a:xfrm>
                              <a:prstGeom prst="rect">
                                <a:avLst/>
                              </a:prstGeom>
                              <a:solidFill>
                                <a:srgbClr val="FFFFFF"/>
                              </a:solidFill>
                              <a:ln w="6350">
                                <a:solidFill>
                                  <a:srgbClr val="FFFFFF"/>
                                </a:solidFill>
                              </a:ln>
                              <a:effectLst/>
                            </wps:spPr>
                            <wps:txbx>
                              <w:txbxContent>
                                <w:p>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85pt;margin-top:98pt;height:90.1pt;width:42pt;z-index:251673600;mso-width-relative:page;mso-height-relative:page;" fillcolor="#FFFFFF" filled="t" stroked="t" coordsize="21600,21600" o:gfxdata="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KwzpjXAAAADQEAAA8AAAAAAAAAAQAgAAAAIgAAAGRycy9kb3ducmV2LnhtbFBL&#10;AQIUABQAAAAIAIdO4kBLXkXraQIAANYEAAAOAAAAAAAAAAEAIAAAACYBAABkcnMvZTJvRG9jLnht&#10;bFBLBQYAAAAABgAGAFkBAAABBgAAAAA=&#10;">
                      <v:fill on="t" focussize="0,0"/>
                      <v:stroke weight="0.5pt" color="#FFFFFF" joinstyle="round"/>
                      <v:imagedata o:title=""/>
                      <o:lock v:ext="edit" aspectratio="f"/>
                      <v:textbox style="layout-flow:vertical-ideographic;">
                        <w:txbxContent>
                          <w:p>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v:textbox>
                    </v:shape>
                  </w:pict>
                </mc:Fallback>
              </mc:AlternateContent>
            </w:r>
            <w:r>
              <w:rPr>
                <w:rFonts w:ascii="黑体" w:hAnsi="黑体" w:eastAsia="黑体" w:cs="黑体"/>
                <w:color w:val="000000"/>
                <w:sz w:val="44"/>
                <w:szCs w:val="44"/>
              </w:rPr>
              <mc:AlternateContent>
                <mc:Choice Requires="wps">
                  <w:drawing>
                    <wp:anchor distT="0" distB="0" distL="114300" distR="114300" simplePos="0" relativeHeight="251665408" behindDoc="0" locked="0" layoutInCell="1" allowOverlap="1">
                      <wp:simplePos x="0" y="0"/>
                      <wp:positionH relativeFrom="column">
                        <wp:posOffset>-1898015</wp:posOffset>
                      </wp:positionH>
                      <wp:positionV relativeFrom="paragraph">
                        <wp:posOffset>5622290</wp:posOffset>
                      </wp:positionV>
                      <wp:extent cx="1676400" cy="1151255"/>
                      <wp:effectExtent l="4445" t="4445" r="8255" b="12700"/>
                      <wp:wrapNone/>
                      <wp:docPr id="13" name="文本框 13"/>
                      <wp:cNvGraphicFramePr/>
                      <a:graphic xmlns:a="http://schemas.openxmlformats.org/drawingml/2006/main">
                        <a:graphicData uri="http://schemas.microsoft.com/office/word/2010/wordprocessingShape">
                          <wps:wsp>
                            <wps:cNvSpPr txBox="1"/>
                            <wps:spPr>
                              <a:xfrm>
                                <a:off x="0" y="0"/>
                                <a:ext cx="982345" cy="487045"/>
                              </a:xfrm>
                              <a:prstGeom prst="rect">
                                <a:avLst/>
                              </a:prstGeom>
                              <a:solidFill>
                                <a:srgbClr val="FFFFFF"/>
                              </a:solidFill>
                              <a:ln w="6350">
                                <a:solidFill>
                                  <a:srgbClr val="FFFFFF"/>
                                </a:solidFill>
                              </a:ln>
                              <a:effectLst/>
                            </wps:spPr>
                            <wps:txb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45pt;margin-top:442.7pt;height:90.65pt;width:132pt;z-index:251665408;mso-width-relative:page;mso-height-relative:page;" fillcolor="#FFFFFF" filled="t" stroked="t" coordsize="21600,21600" o:gfxdata="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pUZa&#10;2wAAAA0BAAAPAAAAAAAAAAEAIAAAACIAAABkcnMvZG93bnJldi54bWxQSwECFAAUAAAACACHTuJA&#10;XGjy1VcCAADHBAAADgAAAAAAAAABACAAAAAqAQAAZHJzL2Uyb0RvYy54bWxQSwUGAAAAAAYABgBZ&#10;AQAA8wUAAAAA&#10;">
                      <v:fill on="t" focussize="0,0"/>
                      <v:stroke weight="0.5pt" color="#FFFFFF" joinstyle="round"/>
                      <v:imagedata o:title=""/>
                      <o:lock v:ext="edit" aspectratio="f"/>
                      <v:textbo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v:textbox>
                    </v:shape>
                  </w:pict>
                </mc:Fallback>
              </mc:AlternateContent>
            </w:r>
            <w:r>
              <w:rPr>
                <w:rFonts w:hint="eastAsia" w:ascii="黑体" w:hAnsi="黑体" w:eastAsia="黑体" w:cs="黑体"/>
                <w:color w:val="000000"/>
                <w:sz w:val="24"/>
              </w:rPr>
              <w:t>文    件</w:t>
            </w:r>
          </w:p>
        </w:tc>
        <w:tc>
          <w:tcPr>
            <w:tcW w:w="4959"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昌江区人民政府办公室关于印发《昌江区关于加强数字赋能优化营商环境的若干措施》的通知</w:t>
            </w:r>
          </w:p>
          <w:p>
            <w:pPr>
              <w:keepNext w:val="0"/>
              <w:keepLines w:val="0"/>
              <w:pageBreakBefore w:val="0"/>
              <w:tabs>
                <w:tab w:val="left" w:pos="3990"/>
              </w:tabs>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昌府办</w:t>
            </w:r>
            <w:r>
              <w:rPr>
                <w:rFonts w:hint="eastAsia" w:cstheme="minorBidi"/>
                <w:kern w:val="2"/>
                <w:sz w:val="21"/>
                <w:szCs w:val="24"/>
                <w:lang w:val="en-US" w:eastAsia="zh-CN" w:bidi="ar-SA"/>
              </w:rPr>
              <w:t>明</w:t>
            </w:r>
            <w:r>
              <w:rPr>
                <w:rFonts w:hint="eastAsia" w:asciiTheme="minorHAnsi" w:hAnsiTheme="minorHAnsi" w:eastAsiaTheme="minorEastAsia" w:cstheme="minorBidi"/>
                <w:kern w:val="2"/>
                <w:sz w:val="21"/>
                <w:szCs w:val="24"/>
                <w:lang w:val="en-US" w:eastAsia="zh-CN" w:bidi="ar-SA"/>
              </w:rPr>
              <w:t>〔2023〕2</w:t>
            </w:r>
            <w:r>
              <w:rPr>
                <w:rFonts w:hint="eastAsia" w:cstheme="minorBidi"/>
                <w:kern w:val="2"/>
                <w:sz w:val="21"/>
                <w:szCs w:val="24"/>
                <w:lang w:val="en-US" w:eastAsia="zh-CN" w:bidi="ar-SA"/>
              </w:rPr>
              <w:t>2</w:t>
            </w:r>
            <w:r>
              <w:rPr>
                <w:rFonts w:hint="eastAsia" w:asciiTheme="minorHAnsi" w:hAnsiTheme="minorHAnsi" w:eastAsiaTheme="minorEastAsia" w:cstheme="minorBidi"/>
                <w:kern w:val="2"/>
                <w:sz w:val="21"/>
                <w:szCs w:val="24"/>
                <w:lang w:val="en-US" w:eastAsia="zh-CN" w:bidi="ar-SA"/>
              </w:rPr>
              <w:t>号</w:t>
            </w: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………………………（1）</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昌江区人民政府办公室关于印发《昌江区2023年农业生产社会化服务项目实施方案》的通知</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eastAsia="方正小标宋简体"/>
                <w:lang w:eastAsia="zh-CN"/>
              </w:rPr>
            </w:pPr>
            <w:r>
              <w:rPr>
                <w:rFonts w:hint="eastAsia" w:asciiTheme="minorHAnsi" w:hAnsiTheme="minorHAnsi" w:eastAsiaTheme="minorEastAsia" w:cstheme="minorBidi"/>
                <w:kern w:val="2"/>
                <w:sz w:val="21"/>
                <w:szCs w:val="24"/>
                <w:lang w:val="en-US" w:eastAsia="zh-CN" w:bidi="ar-SA"/>
              </w:rPr>
              <w:t>（昌府办字〔2023〕</w:t>
            </w:r>
            <w:r>
              <w:rPr>
                <w:rFonts w:hint="eastAsia" w:cstheme="minorBidi"/>
                <w:kern w:val="2"/>
                <w:sz w:val="21"/>
                <w:szCs w:val="24"/>
                <w:lang w:val="en-US" w:eastAsia="zh-CN" w:bidi="ar-SA"/>
              </w:rPr>
              <w:t>37</w:t>
            </w:r>
            <w:r>
              <w:rPr>
                <w:rFonts w:hint="eastAsia" w:asciiTheme="minorHAnsi" w:hAnsiTheme="minorHAnsi" w:eastAsiaTheme="minorEastAsia" w:cstheme="minorBidi"/>
                <w:kern w:val="2"/>
                <w:sz w:val="21"/>
                <w:szCs w:val="24"/>
                <w:lang w:val="en-US" w:eastAsia="zh-CN" w:bidi="ar-SA"/>
              </w:rPr>
              <w:t>号）………………………（</w:t>
            </w:r>
            <w:r>
              <w:rPr>
                <w:rFonts w:hint="eastAsia" w:cstheme="minorBidi"/>
                <w:kern w:val="2"/>
                <w:sz w:val="21"/>
                <w:szCs w:val="24"/>
                <w:lang w:val="en-US" w:eastAsia="zh-CN" w:bidi="ar-SA"/>
              </w:rPr>
              <w:t>7</w:t>
            </w:r>
            <w:r>
              <w:rPr>
                <w:rFonts w:hint="eastAsia" w:asciiTheme="minorHAnsi" w:hAnsiTheme="minorHAnsi" w:eastAsiaTheme="minorEastAsia" w:cstheme="minorBidi"/>
                <w:kern w:val="2"/>
                <w:sz w:val="21"/>
                <w:szCs w:val="24"/>
                <w:lang w:val="en-US" w:eastAsia="zh-CN" w:bidi="ar-SA"/>
              </w:rPr>
              <w:t>）</w:t>
            </w:r>
          </w:p>
        </w:tc>
      </w:tr>
    </w:tbl>
    <w:p>
      <w:pPr>
        <w:spacing w:line="600" w:lineRule="exact"/>
        <w:jc w:val="left"/>
        <w:rPr>
          <w:rFonts w:hint="eastAsia" w:ascii="方正小标宋简体" w:hAnsi="方正小标宋简体" w:eastAsia="方正小标宋简体" w:cs="方正小标宋简体"/>
          <w:color w:val="000000"/>
          <w:spacing w:val="17"/>
          <w:sz w:val="52"/>
          <w:szCs w:val="52"/>
        </w:rPr>
      </w:pPr>
    </w:p>
    <w:p>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传达政令</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宣传政策</w:t>
      </w:r>
    </w:p>
    <w:p>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指导工作</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服务社会</w:t>
      </w:r>
    </w:p>
    <w:tbl>
      <w:tblPr>
        <w:tblStyle w:val="18"/>
        <w:tblpPr w:leftFromText="180" w:rightFromText="180" w:vertAnchor="text" w:horzAnchor="page" w:tblpX="1470"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17" w:hRule="atLeast"/>
        </w:trPr>
        <w:tc>
          <w:tcPr>
            <w:tcW w:w="1525" w:type="dxa"/>
            <w:vAlign w:val="center"/>
          </w:tcPr>
          <w:p>
            <w:pPr>
              <w:spacing w:line="560" w:lineRule="exact"/>
              <w:jc w:val="center"/>
              <w:rPr>
                <w:rFonts w:ascii="Times New Roman" w:hAnsi="Times New Roman" w:eastAsia="方正黑体_GBK"/>
                <w:b/>
                <w:bCs/>
                <w:color w:val="000000"/>
                <w:sz w:val="24"/>
              </w:rPr>
            </w:pPr>
            <w:r>
              <w:rPr>
                <w:rFonts w:hint="eastAsia" w:ascii="黑体" w:hAnsi="黑体" w:eastAsia="黑体" w:cs="黑体"/>
                <w:color w:val="000000"/>
                <w:spacing w:val="-11"/>
                <w:sz w:val="24"/>
              </w:rPr>
              <w:t>政务动态</w:t>
            </w:r>
          </w:p>
        </w:tc>
        <w:tc>
          <w:tcPr>
            <w:tcW w:w="4870" w:type="dxa"/>
            <w:vAlign w:val="center"/>
          </w:tcPr>
          <w:p>
            <w:pPr>
              <w:shd w:val="clear" w:color="auto" w:fill="FFFFFF"/>
              <w:spacing w:line="120" w:lineRule="exact"/>
              <w:rPr>
                <w:rFonts w:ascii="Times New Roman" w:hAnsi="Times New Roman" w:eastAsia="方正书宋_GBK"/>
                <w:color w:val="000000"/>
                <w:kern w:val="0"/>
                <w:szCs w:val="21"/>
              </w:rPr>
            </w:pPr>
          </w:p>
          <w:p>
            <w:pPr>
              <w:pStyle w:val="2"/>
              <w:keepNext w:val="0"/>
              <w:keepLines w:val="0"/>
              <w:widowControl/>
              <w:shd w:val="clear" w:color="auto" w:fill="FFFFFF"/>
              <w:spacing w:before="0" w:after="0" w:line="400" w:lineRule="exact"/>
              <w:rPr>
                <w:rFonts w:ascii="Times New Roman" w:hAnsi="Times New Roman" w:eastAsia="方正书宋_GBK"/>
                <w:b w:val="0"/>
                <w:color w:val="000000"/>
                <w:spacing w:val="-11"/>
                <w:kern w:val="2"/>
                <w:sz w:val="21"/>
                <w:szCs w:val="21"/>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34</w:t>
            </w:r>
            <w:r>
              <w:rPr>
                <w:rFonts w:hint="eastAsia" w:ascii="Calibri" w:hAnsi="Calibri" w:eastAsia="宋体" w:cs="Times New Roman"/>
                <w:b w:val="0"/>
                <w:bCs w:val="0"/>
                <w:kern w:val="2"/>
                <w:sz w:val="21"/>
                <w:szCs w:val="24"/>
              </w:rPr>
              <w:t>次常务会议</w:t>
            </w:r>
            <w:r>
              <w:rPr>
                <w:rFonts w:hint="eastAsia" w:ascii="Times New Roman" w:hAnsi="Times New Roman" w:eastAsia="方正书宋_GBK"/>
                <w:b w:val="0"/>
                <w:color w:val="000000"/>
                <w:spacing w:val="-11"/>
                <w:kern w:val="2"/>
                <w:sz w:val="21"/>
                <w:szCs w:val="21"/>
              </w:rPr>
              <w:t xml:space="preserve"> </w:t>
            </w:r>
          </w:p>
          <w:p>
            <w:pPr>
              <w:pStyle w:val="2"/>
              <w:keepNext w:val="0"/>
              <w:keepLines w:val="0"/>
              <w:widowControl/>
              <w:shd w:val="clear" w:color="auto" w:fill="FFFFFF"/>
              <w:spacing w:before="0" w:after="0" w:line="400" w:lineRule="exact"/>
              <w:rPr>
                <w:rFonts w:ascii="楷体" w:hAnsi="楷体" w:eastAsia="楷体" w:cs="楷体"/>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25</w:t>
            </w:r>
            <w:r>
              <w:rPr>
                <w:rFonts w:hint="eastAsia" w:ascii="楷体" w:hAnsi="楷体" w:eastAsia="楷体" w:cs="楷体"/>
                <w:b w:val="0"/>
                <w:bCs w:val="0"/>
                <w:kern w:val="2"/>
                <w:sz w:val="21"/>
                <w:szCs w:val="24"/>
              </w:rPr>
              <w:t>）</w:t>
            </w:r>
          </w:p>
          <w:p>
            <w:pPr>
              <w:pStyle w:val="2"/>
              <w:keepNext w:val="0"/>
              <w:keepLines w:val="0"/>
              <w:widowControl/>
              <w:shd w:val="clear" w:color="auto" w:fill="FFFFFF"/>
              <w:spacing w:before="0" w:after="0" w:line="560" w:lineRule="exact"/>
              <w:rPr>
                <w:rFonts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35</w:t>
            </w:r>
            <w:r>
              <w:rPr>
                <w:rFonts w:hint="eastAsia" w:ascii="Calibri" w:hAnsi="Calibri" w:eastAsia="宋体" w:cs="Times New Roman"/>
                <w:b w:val="0"/>
                <w:bCs w:val="0"/>
                <w:kern w:val="2"/>
                <w:sz w:val="21"/>
                <w:szCs w:val="24"/>
              </w:rPr>
              <w:t xml:space="preserve">次常务会议 </w:t>
            </w:r>
          </w:p>
          <w:p>
            <w:pPr>
              <w:pStyle w:val="2"/>
              <w:shd w:val="clear" w:color="auto" w:fill="FFFFFF"/>
              <w:spacing w:before="0" w:after="0" w:line="560" w:lineRule="exact"/>
              <w:rPr>
                <w:rFonts w:ascii="Times New Roman" w:hAnsi="Times New Roman" w:eastAsia="方正楷体_GBK"/>
                <w:color w:val="000000"/>
                <w:szCs w:val="21"/>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28</w:t>
            </w:r>
            <w:r>
              <w:rPr>
                <w:rFonts w:hint="eastAsia" w:ascii="楷体" w:hAnsi="楷体" w:eastAsia="楷体" w:cs="楷体"/>
                <w:b w:val="0"/>
                <w:bCs w:val="0"/>
                <w:kern w:val="2"/>
                <w:sz w:val="21"/>
                <w:szCs w:val="24"/>
              </w:rPr>
              <w:t>）</w:t>
            </w:r>
          </w:p>
        </w:tc>
      </w:tr>
    </w:tbl>
    <w:p>
      <w:pPr>
        <w:spacing w:line="240" w:lineRule="exact"/>
        <w:rPr>
          <w:rFonts w:ascii="Times New Roman" w:hAnsi="Times New Roman" w:eastAsia="微软雅黑"/>
          <w:color w:val="000000"/>
          <w:szCs w:val="21"/>
        </w:rPr>
      </w:pPr>
      <w:r>
        <w:rPr>
          <w:rFonts w:ascii="Times New Roman" w:hAnsi="Times New Roman" w:eastAsia="方正黑体_GBK"/>
          <w:color w:val="000000"/>
        </w:rPr>
        <mc:AlternateContent>
          <mc:Choice Requires="wps">
            <w:drawing>
              <wp:anchor distT="0" distB="0" distL="114300" distR="114300" simplePos="0" relativeHeight="251662336" behindDoc="0" locked="0" layoutInCell="1" allowOverlap="1">
                <wp:simplePos x="0" y="0"/>
                <wp:positionH relativeFrom="column">
                  <wp:posOffset>-54610</wp:posOffset>
                </wp:positionH>
                <wp:positionV relativeFrom="paragraph">
                  <wp:posOffset>27305</wp:posOffset>
                </wp:positionV>
                <wp:extent cx="2183765" cy="7211695"/>
                <wp:effectExtent l="5080" t="4445" r="8255" b="10160"/>
                <wp:wrapNone/>
                <wp:docPr id="15" name="文本框 15"/>
                <wp:cNvGraphicFramePr/>
                <a:graphic xmlns:a="http://schemas.openxmlformats.org/drawingml/2006/main">
                  <a:graphicData uri="http://schemas.microsoft.com/office/word/2010/wordprocessingShape">
                    <wps:wsp>
                      <wps:cNvSpPr txBox="1"/>
                      <wps:spPr>
                        <a:xfrm>
                          <a:off x="5012055" y="2339975"/>
                          <a:ext cx="2183765" cy="7259955"/>
                        </a:xfrm>
                        <a:prstGeom prst="rect">
                          <a:avLst/>
                        </a:prstGeom>
                        <a:solidFill>
                          <a:srgbClr val="FFFFFF"/>
                        </a:solidFill>
                        <a:ln w="6350">
                          <a:solidFill>
                            <a:srgbClr val="FFFFFF"/>
                          </a:solidFill>
                        </a:ln>
                        <a:effectLst/>
                      </wps:spPr>
                      <wps:txbx>
                        <w:txbxContent>
                          <w:p>
                            <w:pPr>
                              <w:spacing w:line="380" w:lineRule="exact"/>
                              <w:rPr>
                                <w:rFonts w:ascii="黑体" w:hAnsi="黑体" w:eastAsia="黑体" w:cs="黑体"/>
                                <w:b/>
                                <w:bCs/>
                                <w:sz w:val="24"/>
                              </w:rPr>
                            </w:pPr>
                            <w:r>
                              <w:rPr>
                                <w:rFonts w:hint="eastAsia" w:ascii="黑体" w:hAnsi="黑体" w:eastAsia="黑体" w:cs="黑体"/>
                                <w:b/>
                                <w:bCs/>
                                <w:sz w:val="24"/>
                              </w:rPr>
                              <w:t>编 辑 委 员 会</w:t>
                            </w:r>
                          </w:p>
                          <w:p>
                            <w:pPr>
                              <w:spacing w:line="240" w:lineRule="exact"/>
                              <w:rPr>
                                <w:rFonts w:ascii="仿宋_GB2312" w:hAnsi="仿宋_GB2312" w:eastAsia="仿宋_GB2312" w:cs="仿宋_GB2312"/>
                              </w:rPr>
                            </w:pPr>
                          </w:p>
                          <w:p>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eastAsia="zh-CN"/>
                              </w:rPr>
                              <w:t>王瀚洋</w:t>
                            </w:r>
                          </w:p>
                          <w:p>
                            <w:pPr>
                              <w:tabs>
                                <w:tab w:val="left" w:pos="1260"/>
                              </w:tabs>
                              <w:spacing w:line="400" w:lineRule="exact"/>
                              <w:rPr>
                                <w:rFonts w:ascii="楷体_GB2312" w:hAnsi="楷体_GB2312" w:eastAsia="楷体_GB2312" w:cs="楷体_GB2312"/>
                                <w:sz w:val="22"/>
                                <w:szCs w:val="28"/>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彭  丹</w:t>
                            </w:r>
                          </w:p>
                          <w:p>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徐润发</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胡招龙</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程国锦  </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pPr>
                              <w:spacing w:line="400" w:lineRule="exact"/>
                              <w:rPr>
                                <w:rFonts w:ascii="仿宋_GB2312" w:hAnsi="仿宋_GB2312" w:eastAsia="仿宋_GB2312" w:cs="仿宋_GB2312"/>
                                <w:sz w:val="22"/>
                                <w:szCs w:val="28"/>
                              </w:rPr>
                            </w:pP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pPr>
                              <w:spacing w:line="400" w:lineRule="exact"/>
                              <w:rPr>
                                <w:rFonts w:ascii="宋体" w:hAnsi="宋体" w:cs="宋体"/>
                                <w:spacing w:val="34"/>
                              </w:rPr>
                            </w:pPr>
                          </w:p>
                          <w:p>
                            <w:pPr>
                              <w:pStyle w:val="3"/>
                              <w:spacing w:before="0" w:beforeAutospacing="0" w:after="0" w:afterAutospacing="0" w:line="400" w:lineRule="exact"/>
                            </w:pPr>
                          </w:p>
                          <w:p>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pPr>
                              <w:pStyle w:val="3"/>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2.15pt;height:567.85pt;width:171.95pt;z-index:251662336;mso-width-relative:page;mso-height-relative:page;" fillcolor="#FFFFFF" filled="t" stroked="t" coordsize="21600,21600" o:gfxdata="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X1PvnXAAAACQEAAA8AAAAAAAAAAQAgAAAAIgAAAGRycy9kb3ducmV2LnhtbFBLAQIU&#10;ABQAAAAIAIdO4kD5eHAtZgIAANUEAAAOAAAAAAAAAAEAIAAAACYBAABkcnMvZTJvRG9jLnhtbFBL&#10;BQYAAAAABgAGAFkBAAD+BQAAAAA=&#10;">
                <v:fill on="t" focussize="0,0"/>
                <v:stroke weight="0.5pt" color="#FFFFFF" joinstyle="round"/>
                <v:imagedata o:title=""/>
                <o:lock v:ext="edit" aspectratio="f"/>
                <v:textbox>
                  <w:txbxContent>
                    <w:p>
                      <w:pPr>
                        <w:spacing w:line="380" w:lineRule="exact"/>
                        <w:rPr>
                          <w:rFonts w:ascii="黑体" w:hAnsi="黑体" w:eastAsia="黑体" w:cs="黑体"/>
                          <w:b/>
                          <w:bCs/>
                          <w:sz w:val="24"/>
                        </w:rPr>
                      </w:pPr>
                      <w:r>
                        <w:rPr>
                          <w:rFonts w:hint="eastAsia" w:ascii="黑体" w:hAnsi="黑体" w:eastAsia="黑体" w:cs="黑体"/>
                          <w:b/>
                          <w:bCs/>
                          <w:sz w:val="24"/>
                        </w:rPr>
                        <w:t>编 辑 委 员 会</w:t>
                      </w:r>
                    </w:p>
                    <w:p>
                      <w:pPr>
                        <w:spacing w:line="240" w:lineRule="exact"/>
                        <w:rPr>
                          <w:rFonts w:ascii="仿宋_GB2312" w:hAnsi="仿宋_GB2312" w:eastAsia="仿宋_GB2312" w:cs="仿宋_GB2312"/>
                        </w:rPr>
                      </w:pPr>
                    </w:p>
                    <w:p>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eastAsia="zh-CN"/>
                        </w:rPr>
                        <w:t>王瀚洋</w:t>
                      </w:r>
                    </w:p>
                    <w:p>
                      <w:pPr>
                        <w:tabs>
                          <w:tab w:val="left" w:pos="1260"/>
                        </w:tabs>
                        <w:spacing w:line="400" w:lineRule="exact"/>
                        <w:rPr>
                          <w:rFonts w:ascii="楷体_GB2312" w:hAnsi="楷体_GB2312" w:eastAsia="楷体_GB2312" w:cs="楷体_GB2312"/>
                          <w:sz w:val="22"/>
                          <w:szCs w:val="28"/>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彭  丹</w:t>
                      </w:r>
                    </w:p>
                    <w:p>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徐润发</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胡招龙</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程国锦  </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pPr>
                        <w:spacing w:line="400" w:lineRule="exact"/>
                        <w:rPr>
                          <w:rFonts w:ascii="仿宋_GB2312" w:hAnsi="仿宋_GB2312" w:eastAsia="仿宋_GB2312" w:cs="仿宋_GB2312"/>
                          <w:sz w:val="22"/>
                          <w:szCs w:val="28"/>
                        </w:rPr>
                      </w:pP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pPr>
                        <w:spacing w:line="400" w:lineRule="exact"/>
                        <w:rPr>
                          <w:rFonts w:ascii="宋体" w:hAnsi="宋体" w:cs="宋体"/>
                          <w:spacing w:val="34"/>
                        </w:rPr>
                      </w:pPr>
                    </w:p>
                    <w:p>
                      <w:pPr>
                        <w:pStyle w:val="3"/>
                        <w:spacing w:before="0" w:beforeAutospacing="0" w:after="0" w:afterAutospacing="0" w:line="400" w:lineRule="exact"/>
                      </w:pPr>
                    </w:p>
                    <w:p>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pPr>
                        <w:pStyle w:val="3"/>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v:textbox>
              </v:shape>
            </w:pict>
          </mc:Fallback>
        </mc:AlternateContent>
      </w: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pStyle w:val="25"/>
        <w:spacing w:after="0" w:line="598" w:lineRule="exact"/>
        <w:ind w:firstLine="0"/>
        <w:jc w:val="center"/>
        <w:rPr>
          <w:b/>
          <w:bCs/>
          <w:color w:val="000000"/>
          <w:sz w:val="44"/>
          <w:szCs w:val="44"/>
          <w:lang w:eastAsia="zh-CN"/>
        </w:rPr>
        <w:sectPr>
          <w:headerReference r:id="rId10" w:type="default"/>
          <w:footerReference r:id="rId12" w:type="default"/>
          <w:headerReference r:id="rId11" w:type="even"/>
          <w:footerReference r:id="rId13" w:type="even"/>
          <w:type w:val="continuous"/>
          <w:pgSz w:w="11906" w:h="16838"/>
          <w:pgMar w:top="1440" w:right="1083" w:bottom="1440" w:left="1083"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昌江区政府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sectPr>
          <w:headerReference r:id="rId14" w:type="default"/>
          <w:footerReference r:id="rId16" w:type="default"/>
          <w:headerReference r:id="rId15" w:type="even"/>
          <w:footerReference r:id="rId17" w:type="even"/>
          <w:type w:val="continuous"/>
          <w:pgSz w:w="11906" w:h="16838"/>
          <w:pgMar w:top="1440" w:right="1417" w:bottom="1440" w:left="1417" w:header="851" w:footer="992" w:gutter="0"/>
          <w:pgNumType w:fmt="decimal"/>
          <w:cols w:space="425" w:num="1"/>
          <w:rtlGutter w:val="0"/>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昌江区人民政府办公室</w:t>
      </w:r>
    </w:p>
    <w:p>
      <w:pPr>
        <w:keepNext w:val="0"/>
        <w:keepLines w:val="0"/>
        <w:pageBreakBefore w:val="0"/>
        <w:widowControl/>
        <w:kinsoku/>
        <w:wordWrap/>
        <w:overflowPunct/>
        <w:topLinePunct w:val="0"/>
        <w:autoSpaceDE/>
        <w:autoSpaceDN/>
        <w:bidi w:val="0"/>
        <w:adjustRightInd w:val="0"/>
        <w:snapToGrid w:val="0"/>
        <w:spacing w:before="136" w:line="600" w:lineRule="exact"/>
        <w:jc w:val="center"/>
        <w:textAlignment w:val="baseline"/>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关于印发《</w:t>
      </w:r>
      <w:r>
        <w:rPr>
          <w:rFonts w:hint="eastAsia" w:ascii="方正小标宋简体" w:hAnsi="方正小标宋简体" w:eastAsia="方正小标宋简体" w:cs="方正小标宋简体"/>
          <w:b w:val="0"/>
          <w:bCs w:val="0"/>
          <w:spacing w:val="-3"/>
          <w:sz w:val="44"/>
          <w:szCs w:val="44"/>
          <w:lang w:val="en-US" w:eastAsia="zh-CN"/>
        </w:rPr>
        <w:t>昌江区</w:t>
      </w:r>
      <w:r>
        <w:rPr>
          <w:rFonts w:hint="eastAsia" w:ascii="方正小标宋简体" w:hAnsi="方正小标宋简体" w:eastAsia="方正小标宋简体" w:cs="方正小标宋简体"/>
          <w:b w:val="0"/>
          <w:bCs w:val="0"/>
          <w:spacing w:val="-3"/>
          <w:sz w:val="44"/>
          <w:szCs w:val="44"/>
        </w:rPr>
        <w:t>关于加强数字赋能优化营商环境的若干措施</w:t>
      </w:r>
      <w:r>
        <w:rPr>
          <w:rFonts w:hint="eastAsia" w:ascii="方正小标宋简体" w:hAnsi="方正小标宋简体" w:eastAsia="方正小标宋简体" w:cs="方正小标宋简体"/>
          <w:color w:val="000000"/>
          <w:kern w:val="0"/>
          <w:sz w:val="43"/>
          <w:szCs w:val="43"/>
          <w:lang w:val="en-US" w:eastAsia="zh-CN" w:bidi="ar"/>
        </w:rPr>
        <w:t>》的通知</w:t>
      </w:r>
    </w:p>
    <w:p>
      <w:pPr>
        <w:keepNext w:val="0"/>
        <w:keepLines w:val="0"/>
        <w:pageBreakBefore w:val="0"/>
        <w:widowControl/>
        <w:kinsoku/>
        <w:wordWrap/>
        <w:overflowPunct/>
        <w:topLinePunct w:val="0"/>
        <w:autoSpaceDE/>
        <w:autoSpaceDN/>
        <w:bidi w:val="0"/>
        <w:adjustRightInd w:val="0"/>
        <w:snapToGrid w:val="0"/>
        <w:spacing w:before="136" w:line="600" w:lineRule="exact"/>
        <w:jc w:val="center"/>
        <w:textAlignment w:val="baseline"/>
        <w:rPr>
          <w:rFonts w:hint="eastAsia" w:ascii="方正小标宋简体" w:hAnsi="方正小标宋简体" w:eastAsia="方正小标宋简体" w:cs="方正小标宋简体"/>
          <w:b w:val="0"/>
          <w:bCs w:val="0"/>
          <w:spacing w:val="-3"/>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区政府各部门，区直有关单位：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《昌江区关于加强数字赋能优化营商环境的若干措施》经区政府同意，现印发给你们，请认真贯彻落实。</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5120" w:firstLineChars="1600"/>
        <w:jc w:val="both"/>
        <w:textAlignment w:val="auto"/>
        <w:rPr>
          <w:rFonts w:hint="eastAsia" w:ascii="仿宋" w:hAnsi="仿宋" w:eastAsia="仿宋" w:cs="仿宋"/>
          <w:color w:val="000000"/>
          <w:kern w:val="0"/>
          <w:sz w:val="32"/>
          <w:szCs w:val="32"/>
          <w:lang w:val="en-US" w:eastAsia="zh-CN" w:bidi="ar"/>
        </w:rPr>
      </w:pPr>
    </w:p>
    <w:p>
      <w:pPr>
        <w:pStyle w:val="2"/>
        <w:rPr>
          <w:rFonts w:hint="eastAsia" w:ascii="仿宋" w:hAnsi="仿宋" w:eastAsia="仿宋" w:cs="仿宋"/>
          <w:color w:val="000000"/>
          <w:kern w:val="0"/>
          <w:sz w:val="32"/>
          <w:szCs w:val="32"/>
          <w:lang w:val="en-US" w:eastAsia="zh-CN" w:bidi="ar"/>
        </w:rPr>
      </w:pPr>
    </w:p>
    <w:p>
      <w:pPr>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0" w:firstLineChars="1500"/>
        <w:jc w:val="both"/>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昌江区人民政府办公室</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440" w:firstLineChars="1700"/>
        <w:jc w:val="both"/>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2023年9月28日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b w:val="0"/>
          <w:bCs w:val="0"/>
          <w:color w:val="auto"/>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b w:val="0"/>
          <w:bCs w:val="0"/>
          <w:color w:val="auto"/>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baseline"/>
        <w:rPr>
          <w:rFonts w:hint="eastAsia" w:ascii="方正小标宋简体" w:hAnsi="方正小标宋简体" w:eastAsia="方正小标宋简体" w:cs="方正小标宋简体"/>
          <w:b w:val="0"/>
          <w:bCs w:val="0"/>
          <w:spacing w:val="-3"/>
          <w:sz w:val="44"/>
          <w:szCs w:val="44"/>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jc w:val="both"/>
        <w:rPr>
          <w:rFonts w:hint="eastAsia"/>
          <w:lang w:val="en-US" w:eastAsia="zh-CN"/>
        </w:rPr>
      </w:pP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baseline"/>
        <w:rPr>
          <w:rFonts w:hint="eastAsia" w:ascii="方正小标宋简体" w:hAnsi="方正小标宋简体" w:eastAsia="方正小标宋简体" w:cs="方正小标宋简体"/>
          <w:b w:val="0"/>
          <w:bCs w:val="0"/>
          <w:spacing w:val="-3"/>
          <w:sz w:val="44"/>
          <w:szCs w:val="44"/>
        </w:rPr>
      </w:pPr>
      <w:r>
        <w:rPr>
          <w:rFonts w:hint="eastAsia" w:ascii="方正小标宋简体" w:hAnsi="方正小标宋简体" w:eastAsia="方正小标宋简体" w:cs="方正小标宋简体"/>
          <w:b w:val="0"/>
          <w:bCs w:val="0"/>
          <w:spacing w:val="-3"/>
          <w:sz w:val="44"/>
          <w:szCs w:val="44"/>
          <w:lang w:val="en-US" w:eastAsia="zh-CN"/>
        </w:rPr>
        <w:t>昌江区</w:t>
      </w:r>
      <w:r>
        <w:rPr>
          <w:rFonts w:hint="eastAsia" w:ascii="方正小标宋简体" w:hAnsi="方正小标宋简体" w:eastAsia="方正小标宋简体" w:cs="方正小标宋简体"/>
          <w:b w:val="0"/>
          <w:bCs w:val="0"/>
          <w:spacing w:val="-3"/>
          <w:sz w:val="44"/>
          <w:szCs w:val="44"/>
        </w:rPr>
        <w:t>关于加强数字赋能优化</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baseline"/>
        <w:rPr>
          <w:rFonts w:hint="eastAsia" w:ascii="方正小标宋简体" w:hAnsi="方正小标宋简体" w:eastAsia="方正小标宋简体" w:cs="方正小标宋简体"/>
          <w:b w:val="0"/>
          <w:bCs w:val="0"/>
          <w:spacing w:val="-3"/>
          <w:sz w:val="44"/>
          <w:szCs w:val="44"/>
          <w:lang w:val="en-US" w:eastAsia="zh-CN"/>
        </w:rPr>
      </w:pPr>
      <w:r>
        <w:rPr>
          <w:rFonts w:hint="eastAsia" w:ascii="方正小标宋简体" w:hAnsi="方正小标宋简体" w:eastAsia="方正小标宋简体" w:cs="方正小标宋简体"/>
          <w:b w:val="0"/>
          <w:bCs w:val="0"/>
          <w:spacing w:val="-3"/>
          <w:sz w:val="44"/>
          <w:szCs w:val="44"/>
        </w:rPr>
        <w:t>营商环境的若干措施</w:t>
      </w:r>
    </w:p>
    <w:p>
      <w:pPr>
        <w:keepNext w:val="0"/>
        <w:keepLines w:val="0"/>
        <w:pageBreakBefore w:val="0"/>
        <w:widowControl/>
        <w:kinsoku/>
        <w:wordWrap/>
        <w:overflowPunct/>
        <w:topLinePunct w:val="0"/>
        <w:autoSpaceDE/>
        <w:autoSpaceDN/>
        <w:bidi w:val="0"/>
        <w:adjustRightInd w:val="0"/>
        <w:snapToGrid w:val="0"/>
        <w:spacing w:before="136" w:line="219" w:lineRule="auto"/>
        <w:jc w:val="center"/>
        <w:textAlignment w:val="baseline"/>
        <w:rPr>
          <w:rFonts w:ascii="宋体" w:hAnsi="宋体" w:eastAsia="宋体" w:cs="宋体"/>
          <w:b/>
          <w:bCs/>
          <w:spacing w:val="-3"/>
          <w:sz w:val="42"/>
          <w:szCs w:val="42"/>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为深入贯彻习近平总书记关于优化营商环境重要论述和视察江西重要讲话精神，</w:t>
      </w:r>
      <w:r>
        <w:rPr>
          <w:rFonts w:hint="eastAsia" w:ascii="仿宋" w:hAnsi="仿宋" w:eastAsia="仿宋" w:cs="仿宋"/>
          <w:sz w:val="32"/>
          <w:szCs w:val="32"/>
          <w:lang w:val="en-US" w:eastAsia="zh-CN"/>
        </w:rPr>
        <w:t>根据《江西省人民政府办公厅印发关于加强数字赋能优化营商环境的若干措施的通知》（赣府厅〔2023〕42号）要求，落实好《关于印发景德镇市关于加强数字赋能营商环境的若干措施的通知》（景府办字〔2023〕28号）工作部署，</w:t>
      </w:r>
      <w:r>
        <w:rPr>
          <w:rFonts w:hint="eastAsia" w:ascii="仿宋" w:hAnsi="仿宋" w:eastAsia="仿宋" w:cs="仿宋"/>
          <w:sz w:val="32"/>
          <w:szCs w:val="32"/>
        </w:rPr>
        <w:t>突出以数字赋能为手段，进</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一步强化数据共享应用，推动流程重塑再造</w:t>
      </w:r>
      <w:r>
        <w:rPr>
          <w:rFonts w:hint="eastAsia" w:ascii="仿宋" w:hAnsi="仿宋" w:eastAsia="仿宋" w:cs="仿宋"/>
          <w:sz w:val="32"/>
          <w:szCs w:val="32"/>
          <w:lang w:eastAsia="zh-CN"/>
        </w:rPr>
        <w:t>、</w:t>
      </w:r>
      <w:r>
        <w:rPr>
          <w:rFonts w:hint="eastAsia" w:ascii="仿宋" w:hAnsi="仿宋" w:eastAsia="仿宋" w:cs="仿宋"/>
          <w:sz w:val="32"/>
          <w:szCs w:val="32"/>
        </w:rPr>
        <w:t>改革系统集成，助力全</w:t>
      </w:r>
      <w:r>
        <w:rPr>
          <w:rFonts w:hint="eastAsia" w:ascii="仿宋" w:hAnsi="仿宋" w:eastAsia="仿宋" w:cs="仿宋"/>
          <w:sz w:val="32"/>
          <w:szCs w:val="32"/>
          <w:lang w:val="en-US" w:eastAsia="zh-CN"/>
        </w:rPr>
        <w:t>区</w:t>
      </w:r>
      <w:r>
        <w:rPr>
          <w:rFonts w:hint="eastAsia" w:ascii="仿宋" w:hAnsi="仿宋" w:eastAsia="仿宋" w:cs="仿宋"/>
          <w:sz w:val="32"/>
          <w:szCs w:val="32"/>
        </w:rPr>
        <w:t>营商环境优化升级，更大程度激发市场活力和社会创造力，现提出如下措施。</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楷体" w:hAnsi="楷体" w:eastAsia="楷体" w:cs="楷体"/>
          <w:b/>
          <w:bCs/>
          <w:color w:val="auto"/>
          <w:sz w:val="32"/>
          <w:szCs w:val="32"/>
          <w:lang w:eastAsia="zh-CN"/>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便利市场准入。</w:t>
      </w:r>
      <w:r>
        <w:rPr>
          <w:rFonts w:hint="eastAsia" w:ascii="仿宋" w:hAnsi="仿宋" w:eastAsia="仿宋" w:cs="仿宋"/>
          <w:color w:val="auto"/>
          <w:sz w:val="32"/>
          <w:szCs w:val="32"/>
        </w:rPr>
        <w:t>深化应用企业名称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经营范围标准化自主申报。探索整合企业开办和银行开户备案信息，进一步便利开立银行账户。深入推进“一照通办”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推动跨部门更多行政许可事项纳入“一照通办”改革范围。探索推行食品、医疗器械经营等许可“承诺+现场视频”远程审批。推行企业变更登记全程网办，实施企业迁移“不见面</w:t>
      </w:r>
      <w:r>
        <w:rPr>
          <w:rFonts w:hint="eastAsia" w:ascii="仿宋" w:hAnsi="仿宋" w:eastAsia="仿宋" w:cs="仿宋"/>
          <w:color w:val="auto"/>
          <w:sz w:val="32"/>
          <w:szCs w:val="32"/>
          <w:lang w:eastAsia="zh-CN"/>
        </w:rPr>
        <w:t>办”。</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牵头</w:t>
      </w:r>
      <w:r>
        <w:rPr>
          <w:rFonts w:hint="eastAsia" w:ascii="楷体" w:hAnsi="楷体" w:eastAsia="楷体" w:cs="楷体"/>
          <w:b/>
          <w:bCs/>
          <w:color w:val="auto"/>
          <w:sz w:val="32"/>
          <w:szCs w:val="32"/>
        </w:rPr>
        <w:t>单位：</w:t>
      </w:r>
      <w:r>
        <w:rPr>
          <w:rFonts w:hint="eastAsia" w:ascii="楷体" w:hAnsi="楷体" w:eastAsia="楷体" w:cs="楷体"/>
          <w:b/>
          <w:bCs/>
          <w:color w:val="auto"/>
          <w:sz w:val="32"/>
          <w:szCs w:val="32"/>
          <w:lang w:val="en-US" w:eastAsia="zh-CN"/>
        </w:rPr>
        <w:t>区市监</w:t>
      </w:r>
      <w:r>
        <w:rPr>
          <w:rFonts w:hint="eastAsia" w:ascii="楷体" w:hAnsi="楷体" w:eastAsia="楷体" w:cs="楷体"/>
          <w:b/>
          <w:bCs/>
          <w:color w:val="auto"/>
          <w:sz w:val="32"/>
          <w:szCs w:val="32"/>
        </w:rPr>
        <w:t>局</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责任单位：昌江公安分局</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区</w:t>
      </w:r>
      <w:r>
        <w:rPr>
          <w:rFonts w:hint="eastAsia" w:ascii="楷体" w:hAnsi="楷体" w:eastAsia="楷体" w:cs="楷体"/>
          <w:b/>
          <w:bCs/>
          <w:color w:val="auto"/>
          <w:sz w:val="32"/>
          <w:szCs w:val="32"/>
        </w:rPr>
        <w:t>税务局</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区</w:t>
      </w:r>
      <w:r>
        <w:rPr>
          <w:rFonts w:hint="eastAsia" w:ascii="楷体" w:hAnsi="楷体" w:eastAsia="楷体" w:cs="楷体"/>
          <w:b/>
          <w:bCs/>
          <w:color w:val="auto"/>
          <w:sz w:val="32"/>
          <w:szCs w:val="32"/>
        </w:rPr>
        <w:t>人社局</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区</w:t>
      </w:r>
      <w:r>
        <w:rPr>
          <w:rFonts w:hint="eastAsia" w:ascii="楷体" w:hAnsi="楷体" w:eastAsia="楷体" w:cs="楷体"/>
          <w:b/>
          <w:bCs/>
          <w:color w:val="auto"/>
          <w:sz w:val="32"/>
          <w:szCs w:val="32"/>
        </w:rPr>
        <w:t>住建局</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区</w:t>
      </w:r>
      <w:r>
        <w:rPr>
          <w:rFonts w:hint="eastAsia" w:ascii="楷体" w:hAnsi="楷体" w:eastAsia="楷体" w:cs="楷体"/>
          <w:b/>
          <w:bCs/>
          <w:color w:val="auto"/>
          <w:sz w:val="32"/>
          <w:szCs w:val="32"/>
        </w:rPr>
        <w:t>医保局等</w:t>
      </w:r>
      <w:r>
        <w:rPr>
          <w:rFonts w:hint="eastAsia" w:ascii="楷体" w:hAnsi="楷体" w:eastAsia="楷体" w:cs="楷体"/>
          <w:b/>
          <w:bCs/>
          <w:color w:val="auto"/>
          <w:sz w:val="32"/>
          <w:szCs w:val="32"/>
          <w:lang w:val="en-US" w:eastAsia="zh-CN"/>
        </w:rPr>
        <w:t>区</w:t>
      </w:r>
      <w:r>
        <w:rPr>
          <w:rFonts w:hint="eastAsia" w:ascii="楷体" w:hAnsi="楷体" w:eastAsia="楷体" w:cs="楷体"/>
          <w:b/>
          <w:bCs/>
          <w:color w:val="auto"/>
          <w:sz w:val="32"/>
          <w:szCs w:val="32"/>
        </w:rPr>
        <w:t>有关单位</w:t>
      </w:r>
      <w:r>
        <w:rPr>
          <w:rFonts w:hint="eastAsia" w:ascii="楷体" w:hAnsi="楷体" w:eastAsia="楷体" w:cs="楷体"/>
          <w:b/>
          <w:bCs/>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楷体" w:hAnsi="楷体" w:eastAsia="楷体" w:cs="楷体"/>
          <w:b/>
          <w:bCs/>
          <w:sz w:val="32"/>
          <w:szCs w:val="32"/>
          <w:lang w:eastAsia="zh-CN"/>
        </w:rPr>
      </w:pPr>
      <w:r>
        <w:rPr>
          <w:rFonts w:hint="eastAsia" w:ascii="黑体" w:hAnsi="宋体" w:eastAsia="黑体" w:cs="黑体"/>
          <w:snapToGrid w:val="0"/>
          <w:color w:val="000000"/>
          <w:kern w:val="0"/>
          <w:sz w:val="32"/>
          <w:szCs w:val="32"/>
          <w:lang w:val="en-US" w:eastAsia="zh-CN" w:bidi="ar"/>
        </w:rPr>
        <w:t>二、</w:t>
      </w:r>
      <w:r>
        <w:rPr>
          <w:rFonts w:hint="eastAsia" w:ascii="黑体" w:hAnsi="黑体" w:eastAsia="黑体" w:cs="黑体"/>
          <w:b w:val="0"/>
          <w:bCs w:val="0"/>
          <w:sz w:val="32"/>
          <w:szCs w:val="32"/>
        </w:rPr>
        <w:t>提高人力资源信息化水平。</w:t>
      </w:r>
      <w:r>
        <w:rPr>
          <w:rFonts w:hint="eastAsia" w:ascii="仿宋" w:hAnsi="仿宋" w:eastAsia="仿宋" w:cs="仿宋"/>
          <w:sz w:val="32"/>
          <w:szCs w:val="32"/>
        </w:rPr>
        <w:t>深入推进江西省人力资源地图建设，构建互联互通的就业数字化服务平台，加强工业园区企业用工监测。推进建立“共享用工”协调机制，推行</w:t>
      </w:r>
      <w:r>
        <w:rPr>
          <w:rFonts w:hint="eastAsia" w:ascii="仿宋" w:hAnsi="仿宋" w:eastAsia="仿宋" w:cs="仿宋"/>
          <w:sz w:val="32"/>
          <w:szCs w:val="32"/>
          <w:lang w:eastAsia="zh-CN"/>
        </w:rPr>
        <w:t>“</w:t>
      </w:r>
      <w:r>
        <w:rPr>
          <w:rFonts w:hint="eastAsia" w:ascii="仿宋" w:hAnsi="仿宋" w:eastAsia="仿宋" w:cs="仿宋"/>
          <w:sz w:val="32"/>
          <w:szCs w:val="32"/>
        </w:rPr>
        <w:t>共享员工</w:t>
      </w:r>
      <w:r>
        <w:rPr>
          <w:rFonts w:hint="eastAsia" w:ascii="仿宋" w:hAnsi="仿宋" w:eastAsia="仿宋" w:cs="仿宋"/>
          <w:sz w:val="32"/>
          <w:szCs w:val="32"/>
          <w:lang w:eastAsia="zh-CN"/>
        </w:rPr>
        <w:t>”</w:t>
      </w:r>
      <w:r>
        <w:rPr>
          <w:rFonts w:hint="eastAsia" w:ascii="仿宋" w:hAnsi="仿宋" w:eastAsia="仿宋" w:cs="仿宋"/>
          <w:sz w:val="32"/>
          <w:szCs w:val="32"/>
        </w:rPr>
        <w:t>用工模式。大力推广电子劳动合同，推进“电子劳动合同</w:t>
      </w:r>
      <w:r>
        <w:rPr>
          <w:rFonts w:hint="eastAsia" w:ascii="仿宋" w:hAnsi="仿宋" w:eastAsia="仿宋" w:cs="仿宋"/>
          <w:sz w:val="32"/>
          <w:szCs w:val="32"/>
          <w:lang w:val="en-US" w:eastAsia="zh-CN"/>
        </w:rPr>
        <w:t>+</w:t>
      </w:r>
      <w:r>
        <w:rPr>
          <w:rFonts w:hint="eastAsia" w:ascii="仿宋" w:hAnsi="仿宋" w:eastAsia="仿宋" w:cs="仿宋"/>
          <w:sz w:val="32"/>
          <w:szCs w:val="32"/>
        </w:rPr>
        <w:t>”应用场景建设。依托赣服通和“人才江西”网，以人才服务事项为核心，提升全</w:t>
      </w:r>
      <w:r>
        <w:rPr>
          <w:rFonts w:hint="eastAsia" w:ascii="仿宋" w:hAnsi="仿宋" w:eastAsia="仿宋" w:cs="仿宋"/>
          <w:sz w:val="32"/>
          <w:szCs w:val="32"/>
          <w:lang w:val="en-US" w:eastAsia="zh-CN"/>
        </w:rPr>
        <w:t>区</w:t>
      </w:r>
      <w:r>
        <w:rPr>
          <w:rFonts w:hint="eastAsia" w:ascii="仿宋" w:hAnsi="仿宋" w:eastAsia="仿宋" w:cs="仿宋"/>
          <w:sz w:val="32"/>
          <w:szCs w:val="32"/>
        </w:rPr>
        <w:t>人才综合服务，实现人才服务“一网汇聚”</w:t>
      </w:r>
      <w:r>
        <w:rPr>
          <w:rFonts w:hint="eastAsia" w:ascii="仿宋" w:hAnsi="仿宋" w:eastAsia="仿宋" w:cs="仿宋"/>
          <w:sz w:val="32"/>
          <w:szCs w:val="32"/>
          <w:lang w:eastAsia="zh-CN"/>
        </w:rPr>
        <w:t>、</w:t>
      </w:r>
      <w:r>
        <w:rPr>
          <w:rFonts w:hint="eastAsia" w:ascii="仿宋" w:hAnsi="仿宋" w:eastAsia="仿宋" w:cs="仿宋"/>
          <w:sz w:val="32"/>
          <w:szCs w:val="32"/>
        </w:rPr>
        <w:t>人才事项</w:t>
      </w:r>
      <w:r>
        <w:rPr>
          <w:rFonts w:hint="eastAsia" w:ascii="仿宋" w:hAnsi="仿宋" w:eastAsia="仿宋" w:cs="仿宋"/>
          <w:sz w:val="32"/>
          <w:szCs w:val="32"/>
          <w:lang w:eastAsia="zh-CN"/>
        </w:rPr>
        <w:t>“</w:t>
      </w:r>
      <w:r>
        <w:rPr>
          <w:rFonts w:hint="eastAsia" w:ascii="仿宋" w:hAnsi="仿宋" w:eastAsia="仿宋" w:cs="仿宋"/>
          <w:sz w:val="32"/>
          <w:szCs w:val="32"/>
        </w:rPr>
        <w:t>一网通办</w:t>
      </w:r>
      <w:r>
        <w:rPr>
          <w:rFonts w:hint="eastAsia" w:ascii="仿宋" w:hAnsi="仿宋" w:eastAsia="仿宋" w:cs="仿宋"/>
          <w:sz w:val="32"/>
          <w:szCs w:val="32"/>
          <w:lang w:eastAsia="zh-CN"/>
        </w:rPr>
        <w:t>”、</w:t>
      </w:r>
      <w:r>
        <w:rPr>
          <w:rFonts w:hint="eastAsia" w:ascii="仿宋" w:hAnsi="仿宋" w:eastAsia="仿宋" w:cs="仿宋"/>
          <w:sz w:val="32"/>
          <w:szCs w:val="32"/>
        </w:rPr>
        <w:t>人才奖补“ 一网兑付”。加强农民工工资支付监控预警，保障农民工合法权益。推广运用全国“互联网</w:t>
      </w:r>
      <w:r>
        <w:rPr>
          <w:rFonts w:hint="eastAsia" w:ascii="仿宋" w:hAnsi="仿宋" w:eastAsia="仿宋" w:cs="仿宋"/>
          <w:sz w:val="32"/>
          <w:szCs w:val="32"/>
          <w:lang w:val="en-US" w:eastAsia="zh-CN"/>
        </w:rPr>
        <w:t>+</w:t>
      </w:r>
      <w:r>
        <w:rPr>
          <w:rFonts w:hint="eastAsia" w:ascii="仿宋" w:hAnsi="仿宋" w:eastAsia="仿宋" w:cs="仿宋"/>
          <w:sz w:val="32"/>
          <w:szCs w:val="32"/>
        </w:rPr>
        <w:t>调解”服务平台和省智慧仲裁信息系统，推进劳动人事争议调解仲裁</w:t>
      </w:r>
      <w:r>
        <w:rPr>
          <w:rFonts w:hint="eastAsia" w:ascii="仿宋" w:hAnsi="仿宋" w:eastAsia="仿宋" w:cs="仿宋"/>
          <w:sz w:val="32"/>
          <w:szCs w:val="32"/>
          <w:lang w:eastAsia="zh-CN"/>
        </w:rPr>
        <w:t>“</w:t>
      </w:r>
      <w:r>
        <w:rPr>
          <w:rFonts w:hint="eastAsia" w:ascii="仿宋" w:hAnsi="仿宋" w:eastAsia="仿宋" w:cs="仿宋"/>
          <w:sz w:val="32"/>
          <w:szCs w:val="32"/>
        </w:rPr>
        <w:t>网上办”</w:t>
      </w:r>
      <w:r>
        <w:rPr>
          <w:rFonts w:hint="eastAsia" w:ascii="仿宋" w:hAnsi="仿宋" w:eastAsia="仿宋" w:cs="仿宋"/>
          <w:sz w:val="32"/>
          <w:szCs w:val="32"/>
          <w:lang w:eastAsia="zh-CN"/>
        </w:rPr>
        <w:t>“</w:t>
      </w:r>
      <w:r>
        <w:rPr>
          <w:rFonts w:hint="eastAsia" w:ascii="仿宋" w:hAnsi="仿宋" w:eastAsia="仿宋" w:cs="仿宋"/>
          <w:sz w:val="32"/>
          <w:szCs w:val="32"/>
        </w:rPr>
        <w:t>掌上办</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牵头</w:t>
      </w:r>
      <w:r>
        <w:rPr>
          <w:rFonts w:hint="eastAsia" w:ascii="楷体" w:hAnsi="楷体" w:eastAsia="楷体" w:cs="楷体"/>
          <w:b/>
          <w:bCs/>
          <w:sz w:val="32"/>
          <w:szCs w:val="32"/>
          <w:lang w:eastAsia="zh-CN"/>
        </w:rPr>
        <w:t>单位：</w:t>
      </w:r>
      <w:r>
        <w:rPr>
          <w:rFonts w:hint="eastAsia" w:ascii="楷体" w:hAnsi="楷体" w:eastAsia="楷体" w:cs="楷体"/>
          <w:b/>
          <w:bCs/>
          <w:sz w:val="32"/>
          <w:szCs w:val="32"/>
          <w:lang w:val="en-US" w:eastAsia="zh-CN"/>
        </w:rPr>
        <w:t>区</w:t>
      </w:r>
      <w:r>
        <w:rPr>
          <w:rFonts w:hint="eastAsia" w:ascii="楷体" w:hAnsi="楷体" w:eastAsia="楷体" w:cs="楷体"/>
          <w:b/>
          <w:bCs/>
          <w:sz w:val="32"/>
          <w:szCs w:val="32"/>
          <w:lang w:eastAsia="zh-CN"/>
        </w:rPr>
        <w:t>人社局，</w:t>
      </w:r>
      <w:r>
        <w:rPr>
          <w:rFonts w:hint="eastAsia" w:ascii="楷体" w:hAnsi="楷体" w:eastAsia="楷体" w:cs="楷体"/>
          <w:b/>
          <w:bCs/>
          <w:sz w:val="32"/>
          <w:szCs w:val="32"/>
          <w:lang w:val="en-US" w:eastAsia="zh-CN"/>
        </w:rPr>
        <w:t>责任单位：区</w:t>
      </w:r>
      <w:r>
        <w:rPr>
          <w:rFonts w:hint="eastAsia" w:ascii="楷体" w:hAnsi="楷体" w:eastAsia="楷体" w:cs="楷体"/>
          <w:b/>
          <w:bCs/>
          <w:sz w:val="32"/>
          <w:szCs w:val="32"/>
          <w:lang w:eastAsia="zh-CN"/>
        </w:rPr>
        <w:t>委组织部、</w:t>
      </w:r>
      <w:r>
        <w:rPr>
          <w:rFonts w:hint="eastAsia" w:ascii="楷体" w:hAnsi="楷体" w:eastAsia="楷体" w:cs="楷体"/>
          <w:b/>
          <w:bCs/>
          <w:sz w:val="32"/>
          <w:szCs w:val="32"/>
          <w:lang w:val="en-US" w:eastAsia="zh-CN"/>
        </w:rPr>
        <w:t>区</w:t>
      </w:r>
      <w:r>
        <w:rPr>
          <w:rFonts w:hint="eastAsia" w:ascii="楷体" w:hAnsi="楷体" w:eastAsia="楷体" w:cs="楷体"/>
          <w:b/>
          <w:bCs/>
          <w:sz w:val="32"/>
          <w:szCs w:val="32"/>
          <w:lang w:eastAsia="zh-CN"/>
        </w:rPr>
        <w:t>法院、</w:t>
      </w:r>
      <w:r>
        <w:rPr>
          <w:rFonts w:hint="eastAsia" w:ascii="楷体" w:hAnsi="楷体" w:eastAsia="楷体" w:cs="楷体"/>
          <w:b/>
          <w:bCs/>
          <w:sz w:val="32"/>
          <w:szCs w:val="32"/>
          <w:lang w:val="en-US" w:eastAsia="zh-CN"/>
        </w:rPr>
        <w:t>区</w:t>
      </w:r>
      <w:r>
        <w:rPr>
          <w:rFonts w:hint="eastAsia" w:ascii="楷体" w:hAnsi="楷体" w:eastAsia="楷体" w:cs="楷体"/>
          <w:b/>
          <w:bCs/>
          <w:sz w:val="32"/>
          <w:szCs w:val="32"/>
          <w:lang w:eastAsia="zh-CN"/>
        </w:rPr>
        <w:t>教体局、</w:t>
      </w:r>
      <w:r>
        <w:rPr>
          <w:rFonts w:hint="eastAsia" w:ascii="楷体" w:hAnsi="楷体" w:eastAsia="楷体" w:cs="楷体"/>
          <w:b/>
          <w:bCs/>
          <w:sz w:val="32"/>
          <w:szCs w:val="32"/>
          <w:lang w:val="en-US" w:eastAsia="zh-CN"/>
        </w:rPr>
        <w:t>区</w:t>
      </w:r>
      <w:r>
        <w:rPr>
          <w:rFonts w:hint="eastAsia" w:ascii="楷体" w:hAnsi="楷体" w:eastAsia="楷体" w:cs="楷体"/>
          <w:b/>
          <w:bCs/>
          <w:sz w:val="32"/>
          <w:szCs w:val="32"/>
          <w:lang w:eastAsia="zh-CN"/>
        </w:rPr>
        <w:t>科技局、</w:t>
      </w:r>
      <w:r>
        <w:rPr>
          <w:rFonts w:hint="eastAsia" w:ascii="楷体" w:hAnsi="楷体" w:eastAsia="楷体" w:cs="楷体"/>
          <w:b/>
          <w:bCs/>
          <w:sz w:val="32"/>
          <w:szCs w:val="32"/>
          <w:lang w:val="en-US" w:eastAsia="zh-CN"/>
        </w:rPr>
        <w:t>区行政服务中心</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昌江</w:t>
      </w:r>
      <w:r>
        <w:rPr>
          <w:rFonts w:hint="eastAsia" w:ascii="楷体" w:hAnsi="楷体" w:eastAsia="楷体" w:cs="楷体"/>
          <w:b/>
          <w:bCs/>
          <w:sz w:val="32"/>
          <w:szCs w:val="32"/>
          <w:lang w:eastAsia="zh-CN"/>
        </w:rPr>
        <w:t>公安</w:t>
      </w:r>
      <w:r>
        <w:rPr>
          <w:rFonts w:hint="eastAsia" w:ascii="楷体" w:hAnsi="楷体" w:eastAsia="楷体" w:cs="楷体"/>
          <w:b/>
          <w:bCs/>
          <w:sz w:val="32"/>
          <w:szCs w:val="32"/>
          <w:lang w:val="en-US" w:eastAsia="zh-CN"/>
        </w:rPr>
        <w:t>分</w:t>
      </w:r>
      <w:r>
        <w:rPr>
          <w:rFonts w:hint="eastAsia" w:ascii="楷体" w:hAnsi="楷体" w:eastAsia="楷体" w:cs="楷体"/>
          <w:b/>
          <w:bCs/>
          <w:sz w:val="32"/>
          <w:szCs w:val="32"/>
          <w:lang w:eastAsia="zh-CN"/>
        </w:rPr>
        <w:t>局、</w:t>
      </w:r>
      <w:r>
        <w:rPr>
          <w:rFonts w:hint="eastAsia" w:ascii="楷体" w:hAnsi="楷体" w:eastAsia="楷体" w:cs="楷体"/>
          <w:b/>
          <w:bCs/>
          <w:sz w:val="32"/>
          <w:szCs w:val="32"/>
          <w:lang w:val="en-US" w:eastAsia="zh-CN"/>
        </w:rPr>
        <w:t>区</w:t>
      </w:r>
      <w:r>
        <w:rPr>
          <w:rFonts w:hint="eastAsia" w:ascii="楷体" w:hAnsi="楷体" w:eastAsia="楷体" w:cs="楷体"/>
          <w:b/>
          <w:bCs/>
          <w:sz w:val="32"/>
          <w:szCs w:val="32"/>
          <w:lang w:eastAsia="zh-CN"/>
        </w:rPr>
        <w:t>卫健委、</w:t>
      </w:r>
      <w:r>
        <w:rPr>
          <w:rFonts w:hint="eastAsia" w:ascii="楷体" w:hAnsi="楷体" w:eastAsia="楷体" w:cs="楷体"/>
          <w:b/>
          <w:bCs/>
          <w:sz w:val="32"/>
          <w:szCs w:val="32"/>
          <w:lang w:val="en-US" w:eastAsia="zh-CN"/>
        </w:rPr>
        <w:t>区</w:t>
      </w:r>
      <w:r>
        <w:rPr>
          <w:rFonts w:hint="eastAsia" w:ascii="楷体" w:hAnsi="楷体" w:eastAsia="楷体" w:cs="楷体"/>
          <w:b/>
          <w:bCs/>
          <w:sz w:val="32"/>
          <w:szCs w:val="32"/>
          <w:lang w:eastAsia="zh-CN"/>
        </w:rPr>
        <w:t>住建局等</w:t>
      </w:r>
      <w:r>
        <w:rPr>
          <w:rFonts w:hint="eastAsia" w:ascii="楷体" w:hAnsi="楷体" w:eastAsia="楷体" w:cs="楷体"/>
          <w:b/>
          <w:bCs/>
          <w:sz w:val="32"/>
          <w:szCs w:val="32"/>
          <w:lang w:val="en-US" w:eastAsia="zh-CN"/>
        </w:rPr>
        <w:t>区</w:t>
      </w:r>
      <w:r>
        <w:rPr>
          <w:rFonts w:hint="eastAsia" w:ascii="楷体" w:hAnsi="楷体" w:eastAsia="楷体" w:cs="楷体"/>
          <w:b/>
          <w:bCs/>
          <w:sz w:val="32"/>
          <w:szCs w:val="32"/>
          <w:lang w:eastAsia="zh-CN"/>
        </w:rPr>
        <w:t>有关单位）</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楷体" w:hAnsi="楷体" w:eastAsia="楷体" w:cs="楷体"/>
          <w:b/>
          <w:bCs/>
          <w:color w:val="auto"/>
          <w:sz w:val="32"/>
          <w:szCs w:val="32"/>
          <w:lang w:eastAsia="zh-CN"/>
        </w:rPr>
      </w:pPr>
      <w:r>
        <w:rPr>
          <w:rFonts w:hint="eastAsia" w:ascii="黑体" w:hAnsi="宋体" w:eastAsia="黑体" w:cs="黑体"/>
          <w:snapToGrid w:val="0"/>
          <w:color w:val="000000"/>
          <w:kern w:val="0"/>
          <w:sz w:val="32"/>
          <w:szCs w:val="32"/>
          <w:lang w:val="en-US" w:eastAsia="zh-CN" w:bidi="ar"/>
        </w:rPr>
        <w:t>三、</w:t>
      </w:r>
      <w:r>
        <w:rPr>
          <w:rFonts w:hint="eastAsia" w:ascii="黑体" w:hAnsi="黑体" w:eastAsia="黑体" w:cs="黑体"/>
          <w:b w:val="0"/>
          <w:bCs w:val="0"/>
          <w:color w:val="auto"/>
          <w:sz w:val="32"/>
          <w:szCs w:val="32"/>
        </w:rPr>
        <w:t>推广“互联网</w:t>
      </w:r>
      <w:r>
        <w:rPr>
          <w:rFonts w:hint="eastAsia" w:ascii="黑体" w:hAnsi="黑体" w:eastAsia="黑体" w:cs="黑体"/>
          <w:b w:val="0"/>
          <w:bCs w:val="0"/>
          <w:color w:val="auto"/>
          <w:sz w:val="32"/>
          <w:szCs w:val="32"/>
          <w:lang w:val="en-US" w:eastAsia="zh-CN"/>
        </w:rPr>
        <w:t>+</w:t>
      </w:r>
      <w:r>
        <w:rPr>
          <w:rFonts w:hint="eastAsia" w:ascii="黑体" w:hAnsi="黑体" w:eastAsia="黑体" w:cs="黑体"/>
          <w:b w:val="0"/>
          <w:bCs w:val="0"/>
          <w:color w:val="auto"/>
          <w:sz w:val="32"/>
          <w:szCs w:val="32"/>
        </w:rPr>
        <w:t>税务”服务。</w:t>
      </w:r>
      <w:r>
        <w:rPr>
          <w:rFonts w:hint="eastAsia" w:ascii="仿宋" w:hAnsi="仿宋" w:eastAsia="仿宋" w:cs="仿宋"/>
          <w:color w:val="auto"/>
          <w:sz w:val="32"/>
          <w:szCs w:val="32"/>
        </w:rPr>
        <w:t>优化电子税务局功能，提高涉税事项网办率</w:t>
      </w:r>
      <w:r>
        <w:rPr>
          <w:rFonts w:hint="eastAsia" w:ascii="仿宋" w:hAnsi="仿宋" w:eastAsia="仿宋" w:cs="仿宋"/>
          <w:color w:val="auto"/>
          <w:sz w:val="32"/>
          <w:szCs w:val="32"/>
          <w:highlight w:val="none"/>
        </w:rPr>
        <w:t>。加大“政务服务</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税务区块链”推广力度，探索“税务区块链+金融”“税务区块链</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财政”等多领域合作。优化电子发</w:t>
      </w:r>
      <w:r>
        <w:rPr>
          <w:rFonts w:hint="eastAsia" w:ascii="仿宋" w:hAnsi="仿宋" w:eastAsia="仿宋" w:cs="仿宋"/>
          <w:color w:val="auto"/>
          <w:sz w:val="32"/>
          <w:szCs w:val="32"/>
        </w:rPr>
        <w:t>票服务，提供申领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开具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交付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查验电子发票24小时免费服务。</w:t>
      </w:r>
      <w:r>
        <w:rPr>
          <w:rFonts w:hint="eastAsia" w:ascii="仿宋" w:hAnsi="仿宋" w:eastAsia="仿宋" w:cs="仿宋"/>
          <w:color w:val="auto"/>
          <w:sz w:val="32"/>
          <w:szCs w:val="32"/>
          <w:lang w:val="en-US" w:eastAsia="zh-CN"/>
        </w:rPr>
        <w:t>配合市级打造</w:t>
      </w:r>
      <w:r>
        <w:rPr>
          <w:rFonts w:hint="eastAsia" w:ascii="仿宋" w:hAnsi="仿宋" w:eastAsia="仿宋" w:cs="仿宋"/>
          <w:color w:val="auto"/>
          <w:sz w:val="32"/>
          <w:szCs w:val="32"/>
        </w:rPr>
        <w:t>“5E·智慧税务项目”，提升“智慧税务”能力，持续推进涉税事项同城通办。建立数字赋能优化税收营商环境监测点，提升纳税人诉求响应质效。</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牵头</w:t>
      </w:r>
      <w:r>
        <w:rPr>
          <w:rFonts w:hint="eastAsia" w:ascii="楷体" w:hAnsi="楷体" w:eastAsia="楷体" w:cs="楷体"/>
          <w:b/>
          <w:bCs/>
          <w:color w:val="auto"/>
          <w:sz w:val="32"/>
          <w:szCs w:val="32"/>
          <w:lang w:eastAsia="zh-CN"/>
        </w:rPr>
        <w:t>单位：</w:t>
      </w:r>
      <w:r>
        <w:rPr>
          <w:rFonts w:hint="eastAsia" w:ascii="楷体" w:hAnsi="楷体" w:eastAsia="楷体" w:cs="楷体"/>
          <w:b/>
          <w:bCs/>
          <w:color w:val="auto"/>
          <w:sz w:val="32"/>
          <w:szCs w:val="32"/>
          <w:lang w:val="en-US" w:eastAsia="zh-CN"/>
        </w:rPr>
        <w:t>区</w:t>
      </w:r>
      <w:r>
        <w:rPr>
          <w:rFonts w:hint="eastAsia" w:ascii="楷体" w:hAnsi="楷体" w:eastAsia="楷体" w:cs="楷体"/>
          <w:b/>
          <w:bCs/>
          <w:color w:val="auto"/>
          <w:sz w:val="32"/>
          <w:szCs w:val="32"/>
          <w:lang w:eastAsia="zh-CN"/>
        </w:rPr>
        <w:t>税务局，</w:t>
      </w:r>
      <w:r>
        <w:rPr>
          <w:rFonts w:hint="eastAsia" w:ascii="楷体" w:hAnsi="楷体" w:eastAsia="楷体" w:cs="楷体"/>
          <w:b/>
          <w:bCs/>
          <w:color w:val="auto"/>
          <w:sz w:val="32"/>
          <w:szCs w:val="32"/>
          <w:lang w:val="en-US" w:eastAsia="zh-CN"/>
        </w:rPr>
        <w:t>责任单位：区行政服务中心</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区</w:t>
      </w:r>
      <w:r>
        <w:rPr>
          <w:rFonts w:hint="eastAsia" w:ascii="楷体" w:hAnsi="楷体" w:eastAsia="楷体" w:cs="楷体"/>
          <w:b/>
          <w:bCs/>
          <w:color w:val="auto"/>
          <w:sz w:val="32"/>
          <w:szCs w:val="32"/>
          <w:lang w:eastAsia="zh-CN"/>
        </w:rPr>
        <w:t>财政局、</w:t>
      </w:r>
      <w:r>
        <w:rPr>
          <w:rFonts w:hint="eastAsia" w:ascii="楷体" w:hAnsi="楷体" w:eastAsia="楷体" w:cs="楷体"/>
          <w:b/>
          <w:bCs/>
          <w:color w:val="auto"/>
          <w:sz w:val="32"/>
          <w:szCs w:val="32"/>
          <w:lang w:val="en-US" w:eastAsia="zh-CN"/>
        </w:rPr>
        <w:t>区</w:t>
      </w:r>
      <w:r>
        <w:rPr>
          <w:rFonts w:hint="eastAsia" w:ascii="楷体" w:hAnsi="楷体" w:eastAsia="楷体" w:cs="楷体"/>
          <w:b/>
          <w:bCs/>
          <w:color w:val="auto"/>
          <w:sz w:val="32"/>
          <w:szCs w:val="32"/>
          <w:lang w:eastAsia="zh-CN"/>
        </w:rPr>
        <w:t>工商联</w:t>
      </w:r>
      <w:r>
        <w:rPr>
          <w:rFonts w:hint="eastAsia" w:ascii="楷体" w:hAnsi="楷体" w:eastAsia="楷体" w:cs="楷体"/>
          <w:b/>
          <w:bCs/>
          <w:color w:val="auto"/>
          <w:sz w:val="32"/>
          <w:szCs w:val="32"/>
          <w:lang w:val="en-US" w:eastAsia="zh-CN"/>
        </w:rPr>
        <w:t>等</w:t>
      </w:r>
      <w:r>
        <w:rPr>
          <w:rFonts w:hint="eastAsia" w:ascii="楷体" w:hAnsi="楷体" w:eastAsia="楷体" w:cs="楷体"/>
          <w:b/>
          <w:bCs/>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both"/>
        <w:textAlignment w:val="baseline"/>
        <w:rPr>
          <w:rFonts w:hint="eastAsia" w:ascii="楷体" w:hAnsi="楷体" w:eastAsia="楷体" w:cs="楷体"/>
          <w:b/>
          <w:bCs/>
          <w:color w:val="auto"/>
          <w:sz w:val="32"/>
          <w:szCs w:val="32"/>
          <w:lang w:eastAsia="zh-CN"/>
        </w:rPr>
      </w:pPr>
      <w:r>
        <w:rPr>
          <w:rFonts w:hint="eastAsia" w:ascii="黑体" w:hAnsi="黑体" w:eastAsia="黑体" w:cs="黑体"/>
          <w:b w:val="0"/>
          <w:bCs w:val="0"/>
          <w:strike w:val="0"/>
          <w:dstrike w:val="0"/>
          <w:color w:val="auto"/>
          <w:sz w:val="32"/>
          <w:szCs w:val="32"/>
          <w:lang w:val="en-US" w:eastAsia="zh-CN"/>
        </w:rPr>
        <w:t>四</w:t>
      </w:r>
      <w:r>
        <w:rPr>
          <w:rFonts w:hint="eastAsia" w:ascii="黑体" w:hAnsi="黑体" w:eastAsia="黑体" w:cs="黑体"/>
          <w:b w:val="0"/>
          <w:bCs w:val="0"/>
          <w:strike w:val="0"/>
          <w:dstrike w:val="0"/>
          <w:color w:val="auto"/>
          <w:sz w:val="32"/>
          <w:szCs w:val="32"/>
          <w:lang w:eastAsia="zh-CN"/>
        </w:rPr>
        <w:t>、</w:t>
      </w:r>
      <w:r>
        <w:rPr>
          <w:rFonts w:hint="eastAsia" w:ascii="黑体" w:hAnsi="黑体" w:eastAsia="黑体" w:cs="黑体"/>
          <w:b w:val="0"/>
          <w:bCs w:val="0"/>
          <w:color w:val="000000" w:themeColor="text1"/>
          <w:sz w:val="32"/>
          <w:szCs w:val="32"/>
        </w:rPr>
        <w:t>优化智慧监管服务。</w:t>
      </w:r>
      <w:r>
        <w:rPr>
          <w:rFonts w:hint="eastAsia" w:ascii="仿宋" w:hAnsi="仿宋" w:eastAsia="仿宋" w:cs="仿宋"/>
          <w:color w:val="000000" w:themeColor="text1"/>
          <w:sz w:val="32"/>
          <w:szCs w:val="32"/>
        </w:rPr>
        <w:t>加强部门执法监管系统与区“互联网+监管”平台数据共享，实现执法监管“一网统管”。运用现代信息技术，在安全生产、食品安全、医疗器械经营、交通运输、生态环境等领域实施非现场监管。加快推进跨部门、跨层级、跨领域信用信息的互通共享。统筹推进“双随机、一公开”监管与信用风险分类管理，对诚信经营者实现无事不扰。拓展“信易+”应用场景。建立事前失信警示提醒机制，为经营主体发布信用风险提示和指导，帮助经营主体防范化解失信风险。实现行政处罚信息信用修复“不见面办”。</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牵头</w:t>
      </w:r>
      <w:r>
        <w:rPr>
          <w:rFonts w:hint="eastAsia" w:ascii="楷体" w:hAnsi="楷体" w:eastAsia="楷体" w:cs="楷体"/>
          <w:b/>
          <w:bCs/>
          <w:color w:val="auto"/>
          <w:sz w:val="32"/>
          <w:szCs w:val="32"/>
          <w:lang w:eastAsia="zh-CN"/>
        </w:rPr>
        <w:t>单位：区</w:t>
      </w:r>
      <w:r>
        <w:rPr>
          <w:rFonts w:hint="eastAsia" w:ascii="楷体" w:hAnsi="楷体" w:eastAsia="楷体" w:cs="楷体"/>
          <w:b/>
          <w:bCs/>
          <w:color w:val="auto"/>
          <w:sz w:val="32"/>
          <w:szCs w:val="32"/>
          <w:lang w:val="en-US" w:eastAsia="zh-CN"/>
        </w:rPr>
        <w:t>司法局</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责任单位：区市监局、</w:t>
      </w:r>
      <w:r>
        <w:rPr>
          <w:rFonts w:hint="eastAsia" w:ascii="楷体" w:hAnsi="楷体" w:eastAsia="楷体" w:cs="楷体"/>
          <w:b/>
          <w:bCs/>
          <w:color w:val="auto"/>
          <w:sz w:val="32"/>
          <w:szCs w:val="32"/>
          <w:lang w:eastAsia="zh-CN"/>
        </w:rPr>
        <w:t>区直各执法、监管职能部门）</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楷体" w:hAnsi="楷体" w:eastAsia="楷体" w:cs="楷体"/>
          <w:b/>
          <w:bCs/>
          <w:color w:val="auto"/>
          <w:sz w:val="32"/>
          <w:szCs w:val="32"/>
          <w:lang w:eastAsia="zh-CN"/>
        </w:rPr>
      </w:pPr>
      <w:r>
        <w:rPr>
          <w:rFonts w:hint="eastAsia" w:ascii="黑体" w:hAnsi="宋体" w:eastAsia="黑体" w:cs="黑体"/>
          <w:snapToGrid w:val="0"/>
          <w:color w:val="000000"/>
          <w:kern w:val="0"/>
          <w:sz w:val="32"/>
          <w:szCs w:val="32"/>
          <w:lang w:val="en-US" w:eastAsia="zh-CN" w:bidi="ar"/>
        </w:rPr>
        <w:t>五、</w:t>
      </w:r>
      <w:r>
        <w:rPr>
          <w:rFonts w:hint="eastAsia" w:ascii="黑体" w:hAnsi="黑体" w:eastAsia="黑体" w:cs="黑体"/>
          <w:b w:val="0"/>
          <w:bCs w:val="0"/>
          <w:color w:val="auto"/>
          <w:sz w:val="32"/>
          <w:szCs w:val="32"/>
        </w:rPr>
        <w:t>提升知识产权创造保护质效。</w:t>
      </w:r>
      <w:r>
        <w:rPr>
          <w:rFonts w:hint="eastAsia" w:ascii="仿宋" w:hAnsi="仿宋" w:eastAsia="仿宋" w:cs="仿宋"/>
          <w:color w:val="auto"/>
          <w:sz w:val="32"/>
          <w:szCs w:val="32"/>
          <w:u w:val="none"/>
          <w:lang w:eastAsia="zh-CN"/>
        </w:rPr>
        <w:t>强化技术交易服务，加强技术经纪人培训，支持企业参加线上线下技术交易</w:t>
      </w:r>
      <w:r>
        <w:rPr>
          <w:rFonts w:hint="eastAsia" w:ascii="仿宋" w:hAnsi="仿宋" w:eastAsia="仿宋" w:cs="仿宋"/>
          <w:color w:val="auto"/>
          <w:sz w:val="32"/>
          <w:szCs w:val="32"/>
        </w:rPr>
        <w:t>。</w:t>
      </w:r>
      <w:r>
        <w:rPr>
          <w:rFonts w:hint="eastAsia" w:ascii="仿宋" w:hAnsi="仿宋" w:eastAsia="仿宋" w:cs="仿宋"/>
          <w:color w:val="auto"/>
          <w:sz w:val="32"/>
          <w:szCs w:val="32"/>
          <w:u w:val="none"/>
          <w:lang w:eastAsia="zh-CN"/>
        </w:rPr>
        <w:t>加强知识产权保护，完善知识产权线上诉讼体系建设。建设景德镇市知识产权专家库和景德镇市版权数据库。加强跨部门跨区域知识产权协同保护。对侵犯知识产权违法犯罪实施全环节全要素全链条打击。</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牵头</w:t>
      </w:r>
      <w:r>
        <w:rPr>
          <w:rFonts w:hint="eastAsia" w:ascii="楷体" w:hAnsi="楷体" w:eastAsia="楷体" w:cs="楷体"/>
          <w:b/>
          <w:bCs/>
          <w:color w:val="auto"/>
          <w:sz w:val="32"/>
          <w:szCs w:val="32"/>
          <w:lang w:eastAsia="zh-CN"/>
        </w:rPr>
        <w:t>单位：</w:t>
      </w:r>
      <w:r>
        <w:rPr>
          <w:rFonts w:hint="eastAsia" w:ascii="楷体" w:hAnsi="楷体" w:eastAsia="楷体" w:cs="楷体"/>
          <w:b/>
          <w:bCs/>
          <w:color w:val="auto"/>
          <w:sz w:val="32"/>
          <w:szCs w:val="32"/>
          <w:lang w:val="en-US" w:eastAsia="zh-CN"/>
        </w:rPr>
        <w:t>区</w:t>
      </w:r>
      <w:r>
        <w:rPr>
          <w:rFonts w:hint="eastAsia" w:ascii="楷体" w:hAnsi="楷体" w:eastAsia="楷体" w:cs="楷体"/>
          <w:b/>
          <w:bCs/>
          <w:color w:val="auto"/>
          <w:sz w:val="32"/>
          <w:szCs w:val="32"/>
          <w:lang w:eastAsia="zh-CN"/>
        </w:rPr>
        <w:t>市监局，</w:t>
      </w:r>
      <w:r>
        <w:rPr>
          <w:rFonts w:hint="eastAsia" w:ascii="楷体" w:hAnsi="楷体" w:eastAsia="楷体" w:cs="楷体"/>
          <w:b/>
          <w:bCs/>
          <w:color w:val="auto"/>
          <w:sz w:val="32"/>
          <w:szCs w:val="32"/>
          <w:lang w:val="en-US" w:eastAsia="zh-CN"/>
        </w:rPr>
        <w:t>责任单位：区</w:t>
      </w:r>
      <w:r>
        <w:rPr>
          <w:rFonts w:hint="eastAsia" w:ascii="楷体" w:hAnsi="楷体" w:eastAsia="楷体" w:cs="楷体"/>
          <w:b/>
          <w:bCs/>
          <w:color w:val="auto"/>
          <w:sz w:val="32"/>
          <w:szCs w:val="32"/>
          <w:lang w:eastAsia="zh-CN"/>
        </w:rPr>
        <w:t>科技局、</w:t>
      </w:r>
      <w:r>
        <w:rPr>
          <w:rFonts w:hint="eastAsia" w:ascii="楷体" w:hAnsi="楷体" w:eastAsia="楷体" w:cs="楷体"/>
          <w:b/>
          <w:bCs/>
          <w:color w:val="auto"/>
          <w:sz w:val="32"/>
          <w:szCs w:val="32"/>
          <w:lang w:val="en-US" w:eastAsia="zh-CN"/>
        </w:rPr>
        <w:t>区</w:t>
      </w:r>
      <w:r>
        <w:rPr>
          <w:rFonts w:hint="eastAsia" w:ascii="楷体" w:hAnsi="楷体" w:eastAsia="楷体" w:cs="楷体"/>
          <w:b/>
          <w:bCs/>
          <w:color w:val="auto"/>
          <w:sz w:val="32"/>
          <w:szCs w:val="32"/>
          <w:lang w:eastAsia="zh-CN"/>
        </w:rPr>
        <w:t>文旅局、</w:t>
      </w:r>
      <w:r>
        <w:rPr>
          <w:rFonts w:hint="eastAsia" w:ascii="楷体" w:hAnsi="楷体" w:eastAsia="楷体" w:cs="楷体"/>
          <w:b/>
          <w:bCs/>
          <w:color w:val="auto"/>
          <w:sz w:val="32"/>
          <w:szCs w:val="32"/>
          <w:lang w:val="en-US" w:eastAsia="zh-CN"/>
        </w:rPr>
        <w:t>区</w:t>
      </w:r>
      <w:r>
        <w:rPr>
          <w:rFonts w:hint="eastAsia" w:ascii="楷体" w:hAnsi="楷体" w:eastAsia="楷体" w:cs="楷体"/>
          <w:b/>
          <w:bCs/>
          <w:color w:val="auto"/>
          <w:sz w:val="32"/>
          <w:szCs w:val="32"/>
          <w:lang w:eastAsia="zh-CN"/>
        </w:rPr>
        <w:t>法院、</w:t>
      </w:r>
      <w:r>
        <w:rPr>
          <w:rFonts w:hint="eastAsia" w:ascii="楷体" w:hAnsi="楷体" w:eastAsia="楷体" w:cs="楷体"/>
          <w:b/>
          <w:bCs/>
          <w:color w:val="auto"/>
          <w:sz w:val="32"/>
          <w:szCs w:val="32"/>
          <w:lang w:val="en-US" w:eastAsia="zh-CN"/>
        </w:rPr>
        <w:t>区</w:t>
      </w:r>
      <w:r>
        <w:rPr>
          <w:rFonts w:hint="eastAsia" w:ascii="楷体" w:hAnsi="楷体" w:eastAsia="楷体" w:cs="楷体"/>
          <w:b/>
          <w:bCs/>
          <w:color w:val="auto"/>
          <w:sz w:val="32"/>
          <w:szCs w:val="32"/>
          <w:lang w:eastAsia="zh-CN"/>
        </w:rPr>
        <w:t>检察院、</w:t>
      </w:r>
      <w:r>
        <w:rPr>
          <w:rFonts w:hint="eastAsia" w:ascii="楷体" w:hAnsi="楷体" w:eastAsia="楷体" w:cs="楷体"/>
          <w:b/>
          <w:bCs/>
          <w:color w:val="auto"/>
          <w:sz w:val="32"/>
          <w:szCs w:val="32"/>
          <w:lang w:val="en-US" w:eastAsia="zh-CN"/>
        </w:rPr>
        <w:t>昌江</w:t>
      </w:r>
      <w:r>
        <w:rPr>
          <w:rFonts w:hint="eastAsia" w:ascii="楷体" w:hAnsi="楷体" w:eastAsia="楷体" w:cs="楷体"/>
          <w:b/>
          <w:bCs/>
          <w:color w:val="auto"/>
          <w:sz w:val="32"/>
          <w:szCs w:val="32"/>
          <w:lang w:eastAsia="zh-CN"/>
        </w:rPr>
        <w:t>公安</w:t>
      </w:r>
      <w:r>
        <w:rPr>
          <w:rFonts w:hint="eastAsia" w:ascii="楷体" w:hAnsi="楷体" w:eastAsia="楷体" w:cs="楷体"/>
          <w:b/>
          <w:bCs/>
          <w:color w:val="auto"/>
          <w:sz w:val="32"/>
          <w:szCs w:val="32"/>
          <w:lang w:val="en-US" w:eastAsia="zh-CN"/>
        </w:rPr>
        <w:t>分</w:t>
      </w:r>
      <w:r>
        <w:rPr>
          <w:rFonts w:hint="eastAsia" w:ascii="楷体" w:hAnsi="楷体" w:eastAsia="楷体" w:cs="楷体"/>
          <w:b/>
          <w:bCs/>
          <w:color w:val="auto"/>
          <w:sz w:val="32"/>
          <w:szCs w:val="32"/>
          <w:lang w:eastAsia="zh-CN"/>
        </w:rPr>
        <w:t>局）</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both"/>
        <w:textAlignment w:val="baseline"/>
        <w:rPr>
          <w:rFonts w:hint="eastAsia" w:ascii="楷体" w:hAnsi="楷体" w:eastAsia="楷体" w:cs="楷体"/>
          <w:b/>
          <w:bCs/>
          <w:color w:val="000000" w:themeColor="text1"/>
          <w:sz w:val="32"/>
          <w:szCs w:val="32"/>
          <w:lang w:eastAsia="zh-CN"/>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lang w:eastAsia="zh-CN"/>
        </w:rPr>
        <w:t>、</w:t>
      </w:r>
      <w:r>
        <w:rPr>
          <w:rFonts w:hint="eastAsia" w:ascii="黑体" w:hAnsi="黑体" w:eastAsia="黑体" w:cs="黑体"/>
          <w:b w:val="0"/>
          <w:bCs w:val="0"/>
          <w:color w:val="000000" w:themeColor="text1"/>
          <w:sz w:val="32"/>
          <w:szCs w:val="32"/>
        </w:rPr>
        <w:t>推动惠企政策“直达快享”。</w:t>
      </w:r>
      <w:r>
        <w:rPr>
          <w:rFonts w:hint="eastAsia" w:ascii="仿宋" w:hAnsi="仿宋" w:eastAsia="仿宋" w:cs="仿宋"/>
          <w:color w:val="000000" w:themeColor="text1"/>
          <w:sz w:val="32"/>
          <w:szCs w:val="32"/>
        </w:rPr>
        <w:t>持续提升</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惠企通</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平台办理效能，完善企业精准“画像”</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智能匹配推送</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快速直达兑现等功能，为企业提供一站式惠企服务。将招商引资政策兑现纳入</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惠企通</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平台，推行线上不见面快速兑现。推动新设立企业数据与“惠企通”同步更新，加快推进税务</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人社</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国资等系统的惠企兑现数据归集，提高政策兑现覆盖面及满意度。</w:t>
      </w:r>
      <w:r>
        <w:rPr>
          <w:rFonts w:hint="eastAsia" w:ascii="楷体" w:hAnsi="楷体" w:eastAsia="楷体" w:cs="楷体"/>
          <w:b/>
          <w:bCs/>
          <w:color w:val="000000" w:themeColor="text1"/>
          <w:sz w:val="32"/>
          <w:szCs w:val="32"/>
          <w:lang w:eastAsia="zh-CN"/>
        </w:rPr>
        <w:t>（</w:t>
      </w:r>
      <w:r>
        <w:rPr>
          <w:rFonts w:hint="eastAsia" w:ascii="楷体" w:hAnsi="楷体" w:eastAsia="楷体" w:cs="楷体"/>
          <w:b/>
          <w:bCs/>
          <w:color w:val="000000" w:themeColor="text1"/>
          <w:sz w:val="32"/>
          <w:szCs w:val="32"/>
          <w:lang w:val="en-US" w:eastAsia="zh-CN"/>
        </w:rPr>
        <w:t>牵头</w:t>
      </w:r>
      <w:r>
        <w:rPr>
          <w:rFonts w:hint="eastAsia" w:ascii="楷体" w:hAnsi="楷体" w:eastAsia="楷体" w:cs="楷体"/>
          <w:b/>
          <w:bCs/>
          <w:color w:val="000000" w:themeColor="text1"/>
          <w:sz w:val="32"/>
          <w:szCs w:val="32"/>
          <w:lang w:eastAsia="zh-CN"/>
        </w:rPr>
        <w:t>单位：</w:t>
      </w:r>
      <w:r>
        <w:rPr>
          <w:rFonts w:hint="eastAsia" w:ascii="楷体" w:hAnsi="楷体" w:eastAsia="楷体" w:cs="楷体"/>
          <w:b/>
          <w:bCs/>
          <w:color w:val="000000" w:themeColor="text1"/>
          <w:sz w:val="32"/>
          <w:szCs w:val="32"/>
          <w:lang w:val="en-US" w:eastAsia="zh-CN"/>
        </w:rPr>
        <w:t>区行政服务中心，责任单位：区</w:t>
      </w:r>
      <w:r>
        <w:rPr>
          <w:rFonts w:hint="eastAsia" w:ascii="楷体" w:hAnsi="楷体" w:eastAsia="楷体" w:cs="楷体"/>
          <w:b/>
          <w:bCs/>
          <w:color w:val="000000" w:themeColor="text1"/>
          <w:sz w:val="32"/>
          <w:szCs w:val="32"/>
          <w:lang w:eastAsia="zh-CN"/>
        </w:rPr>
        <w:t>财政局、</w:t>
      </w:r>
      <w:r>
        <w:rPr>
          <w:rFonts w:hint="eastAsia" w:ascii="楷体" w:hAnsi="楷体" w:eastAsia="楷体" w:cs="楷体"/>
          <w:b/>
          <w:bCs/>
          <w:color w:val="000000" w:themeColor="text1"/>
          <w:sz w:val="32"/>
          <w:szCs w:val="32"/>
          <w:lang w:val="en-US" w:eastAsia="zh-CN"/>
        </w:rPr>
        <w:t>区</w:t>
      </w:r>
      <w:r>
        <w:rPr>
          <w:rFonts w:hint="eastAsia" w:ascii="楷体" w:hAnsi="楷体" w:eastAsia="楷体" w:cs="楷体"/>
          <w:b/>
          <w:bCs/>
          <w:color w:val="000000" w:themeColor="text1"/>
          <w:sz w:val="32"/>
          <w:szCs w:val="32"/>
          <w:lang w:eastAsia="zh-CN"/>
        </w:rPr>
        <w:t>商务局、</w:t>
      </w:r>
      <w:r>
        <w:rPr>
          <w:rFonts w:hint="eastAsia" w:ascii="楷体" w:hAnsi="楷体" w:eastAsia="楷体" w:cs="楷体"/>
          <w:b/>
          <w:bCs/>
          <w:color w:val="000000" w:themeColor="text1"/>
          <w:sz w:val="32"/>
          <w:szCs w:val="32"/>
          <w:lang w:val="en-US" w:eastAsia="zh-CN"/>
        </w:rPr>
        <w:t>区</w:t>
      </w:r>
      <w:r>
        <w:rPr>
          <w:rFonts w:hint="eastAsia" w:ascii="楷体" w:hAnsi="楷体" w:eastAsia="楷体" w:cs="楷体"/>
          <w:b/>
          <w:bCs/>
          <w:color w:val="000000" w:themeColor="text1"/>
          <w:sz w:val="32"/>
          <w:szCs w:val="32"/>
          <w:lang w:eastAsia="zh-CN"/>
        </w:rPr>
        <w:t>税务局、</w:t>
      </w:r>
      <w:r>
        <w:rPr>
          <w:rFonts w:hint="eastAsia" w:ascii="楷体" w:hAnsi="楷体" w:eastAsia="楷体" w:cs="楷体"/>
          <w:b/>
          <w:bCs/>
          <w:color w:val="000000" w:themeColor="text1"/>
          <w:sz w:val="32"/>
          <w:szCs w:val="32"/>
          <w:lang w:val="en-US" w:eastAsia="zh-CN"/>
        </w:rPr>
        <w:t>区</w:t>
      </w:r>
      <w:r>
        <w:rPr>
          <w:rFonts w:hint="eastAsia" w:ascii="楷体" w:hAnsi="楷体" w:eastAsia="楷体" w:cs="楷体"/>
          <w:b/>
          <w:bCs/>
          <w:color w:val="000000" w:themeColor="text1"/>
          <w:sz w:val="32"/>
          <w:szCs w:val="32"/>
          <w:lang w:eastAsia="zh-CN"/>
        </w:rPr>
        <w:t>人社局等</w:t>
      </w:r>
      <w:r>
        <w:rPr>
          <w:rFonts w:hint="eastAsia" w:ascii="楷体" w:hAnsi="楷体" w:eastAsia="楷体" w:cs="楷体"/>
          <w:b/>
          <w:bCs/>
          <w:color w:val="000000" w:themeColor="text1"/>
          <w:sz w:val="32"/>
          <w:szCs w:val="32"/>
          <w:lang w:val="en-US" w:eastAsia="zh-CN"/>
        </w:rPr>
        <w:t>区</w:t>
      </w:r>
      <w:r>
        <w:rPr>
          <w:rFonts w:hint="eastAsia" w:ascii="楷体" w:hAnsi="楷体" w:eastAsia="楷体" w:cs="楷体"/>
          <w:b/>
          <w:bCs/>
          <w:color w:val="000000" w:themeColor="text1"/>
          <w:sz w:val="32"/>
          <w:szCs w:val="32"/>
          <w:lang w:eastAsia="zh-CN"/>
        </w:rPr>
        <w:t>有关部门）</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sz w:val="32"/>
          <w:szCs w:val="32"/>
        </w:rPr>
        <w:t>促进在线纠纷解决。</w:t>
      </w:r>
      <w:r>
        <w:rPr>
          <w:rFonts w:hint="eastAsia" w:ascii="仿宋" w:hAnsi="仿宋" w:eastAsia="仿宋" w:cs="仿宋"/>
          <w:sz w:val="32"/>
          <w:szCs w:val="32"/>
        </w:rPr>
        <w:t>优化“智慧法院”服务，完善线上诉讼服务体系，拓展智能客服</w:t>
      </w:r>
      <w:r>
        <w:rPr>
          <w:rFonts w:hint="eastAsia" w:ascii="仿宋" w:hAnsi="仿宋" w:eastAsia="仿宋" w:cs="仿宋"/>
          <w:sz w:val="32"/>
          <w:szCs w:val="32"/>
          <w:lang w:eastAsia="zh-CN"/>
        </w:rPr>
        <w:t>、</w:t>
      </w:r>
      <w:r>
        <w:rPr>
          <w:rFonts w:hint="eastAsia" w:ascii="仿宋" w:hAnsi="仿宋" w:eastAsia="仿宋" w:cs="仿宋"/>
          <w:sz w:val="32"/>
          <w:szCs w:val="32"/>
        </w:rPr>
        <w:t>在线鉴定</w:t>
      </w:r>
      <w:r>
        <w:rPr>
          <w:rFonts w:hint="eastAsia" w:ascii="仿宋" w:hAnsi="仿宋" w:eastAsia="仿宋" w:cs="仿宋"/>
          <w:sz w:val="32"/>
          <w:szCs w:val="32"/>
          <w:lang w:eastAsia="zh-CN"/>
        </w:rPr>
        <w:t>、</w:t>
      </w:r>
      <w:r>
        <w:rPr>
          <w:rFonts w:hint="eastAsia" w:ascii="仿宋" w:hAnsi="仿宋" w:eastAsia="仿宋" w:cs="仿宋"/>
          <w:sz w:val="32"/>
          <w:szCs w:val="32"/>
        </w:rPr>
        <w:t>在线庭审等智慧功能。加强司法数据管理分析</w:t>
      </w:r>
      <w:r>
        <w:rPr>
          <w:rFonts w:hint="eastAsia" w:ascii="仿宋" w:hAnsi="仿宋" w:eastAsia="仿宋" w:cs="仿宋"/>
          <w:sz w:val="32"/>
          <w:szCs w:val="32"/>
          <w:lang w:eastAsia="zh-CN"/>
        </w:rPr>
        <w:t>、</w:t>
      </w:r>
      <w:r>
        <w:rPr>
          <w:rFonts w:hint="eastAsia" w:ascii="仿宋" w:hAnsi="仿宋" w:eastAsia="仿宋" w:cs="仿宋"/>
          <w:sz w:val="32"/>
          <w:szCs w:val="32"/>
        </w:rPr>
        <w:t>裁判文书知识服务，深化智慧审判应用。推动执行案件全流程网上办理，创新智慧执行模式。</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牵头</w:t>
      </w:r>
      <w:r>
        <w:rPr>
          <w:rFonts w:hint="eastAsia" w:ascii="楷体" w:hAnsi="楷体" w:eastAsia="楷体" w:cs="楷体"/>
          <w:b/>
          <w:bCs/>
          <w:sz w:val="32"/>
          <w:szCs w:val="32"/>
          <w:lang w:eastAsia="zh-CN"/>
        </w:rPr>
        <w:t>单位：</w:t>
      </w:r>
      <w:r>
        <w:rPr>
          <w:rFonts w:hint="eastAsia" w:ascii="楷体" w:hAnsi="楷体" w:eastAsia="楷体" w:cs="楷体"/>
          <w:b/>
          <w:bCs/>
          <w:sz w:val="32"/>
          <w:szCs w:val="32"/>
          <w:lang w:val="en-US" w:eastAsia="zh-CN"/>
        </w:rPr>
        <w:t>区</w:t>
      </w:r>
      <w:r>
        <w:rPr>
          <w:rFonts w:hint="eastAsia" w:ascii="楷体" w:hAnsi="楷体" w:eastAsia="楷体" w:cs="楷体"/>
          <w:b/>
          <w:bCs/>
          <w:sz w:val="32"/>
          <w:szCs w:val="32"/>
          <w:lang w:eastAsia="zh-CN"/>
        </w:rPr>
        <w:t>法院）</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楷体" w:hAnsi="楷体" w:eastAsia="楷体" w:cs="楷体"/>
          <w:b/>
          <w:bCs/>
          <w:sz w:val="32"/>
          <w:szCs w:val="32"/>
          <w:lang w:eastAsia="zh-CN"/>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便利市场退出。</w:t>
      </w:r>
      <w:r>
        <w:rPr>
          <w:rFonts w:hint="eastAsia" w:ascii="仿宋" w:hAnsi="仿宋" w:eastAsia="仿宋" w:cs="仿宋"/>
          <w:sz w:val="32"/>
          <w:szCs w:val="32"/>
        </w:rPr>
        <w:t>强化破产案件一体化管理，推进网络拍卖</w:t>
      </w:r>
      <w:r>
        <w:rPr>
          <w:rFonts w:hint="eastAsia" w:ascii="仿宋" w:hAnsi="仿宋" w:eastAsia="仿宋" w:cs="仿宋"/>
          <w:sz w:val="32"/>
          <w:szCs w:val="32"/>
          <w:lang w:eastAsia="zh-CN"/>
        </w:rPr>
        <w:t>、</w:t>
      </w:r>
      <w:r>
        <w:rPr>
          <w:rFonts w:hint="eastAsia" w:ascii="仿宋" w:hAnsi="仿宋" w:eastAsia="仿宋" w:cs="仿宋"/>
          <w:sz w:val="32"/>
          <w:szCs w:val="32"/>
        </w:rPr>
        <w:t>网络债权人会议等，加强案件分析研判，提升破产案件审判质效。探索建立破产企业财产信息一网查询机制，便利破产管理人线上查询。进一步优化简易注销流程，实现注销不见面办</w:t>
      </w:r>
      <w:r>
        <w:rPr>
          <w:rFonts w:hint="eastAsia" w:ascii="仿宋" w:hAnsi="仿宋" w:eastAsia="仿宋" w:cs="仿宋"/>
          <w:sz w:val="32"/>
          <w:szCs w:val="32"/>
          <w:lang w:eastAsia="zh-CN"/>
        </w:rPr>
        <w:t>。</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牵头</w:t>
      </w:r>
      <w:r>
        <w:rPr>
          <w:rFonts w:hint="eastAsia" w:ascii="楷体" w:hAnsi="楷体" w:eastAsia="楷体" w:cs="楷体"/>
          <w:b/>
          <w:bCs/>
          <w:sz w:val="32"/>
          <w:szCs w:val="32"/>
          <w:lang w:eastAsia="zh-CN"/>
        </w:rPr>
        <w:t>单位：</w:t>
      </w:r>
      <w:r>
        <w:rPr>
          <w:rFonts w:hint="eastAsia" w:ascii="楷体" w:hAnsi="楷体" w:eastAsia="楷体" w:cs="楷体"/>
          <w:b/>
          <w:bCs/>
          <w:sz w:val="32"/>
          <w:szCs w:val="32"/>
          <w:lang w:val="en-US" w:eastAsia="zh-CN"/>
        </w:rPr>
        <w:t>区</w:t>
      </w:r>
      <w:r>
        <w:rPr>
          <w:rFonts w:hint="eastAsia" w:ascii="楷体" w:hAnsi="楷体" w:eastAsia="楷体" w:cs="楷体"/>
          <w:b/>
          <w:bCs/>
          <w:sz w:val="32"/>
          <w:szCs w:val="32"/>
          <w:lang w:eastAsia="zh-CN"/>
        </w:rPr>
        <w:t>法院，</w:t>
      </w:r>
      <w:r>
        <w:rPr>
          <w:rFonts w:hint="eastAsia" w:ascii="楷体" w:hAnsi="楷体" w:eastAsia="楷体" w:cs="楷体"/>
          <w:b/>
          <w:bCs/>
          <w:sz w:val="32"/>
          <w:szCs w:val="32"/>
          <w:lang w:val="en-US" w:eastAsia="zh-CN"/>
        </w:rPr>
        <w:t>责任单位：市自然资源和规划局</w:t>
      </w:r>
      <w:r>
        <w:rPr>
          <w:rFonts w:hint="eastAsia" w:ascii="楷体" w:hAnsi="楷体" w:eastAsia="楷体" w:cs="楷体"/>
          <w:b/>
          <w:bCs/>
          <w:sz w:val="32"/>
          <w:szCs w:val="32"/>
          <w:lang w:eastAsia="zh-CN"/>
        </w:rPr>
        <w:t>局</w:t>
      </w:r>
      <w:r>
        <w:rPr>
          <w:rFonts w:hint="eastAsia" w:ascii="楷体" w:hAnsi="楷体" w:eastAsia="楷体" w:cs="楷体"/>
          <w:b/>
          <w:bCs/>
          <w:sz w:val="32"/>
          <w:szCs w:val="32"/>
          <w:lang w:val="en-US" w:eastAsia="zh-CN"/>
        </w:rPr>
        <w:t>昌江分局</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区</w:t>
      </w:r>
      <w:r>
        <w:rPr>
          <w:rFonts w:hint="eastAsia" w:ascii="楷体" w:hAnsi="楷体" w:eastAsia="楷体" w:cs="楷体"/>
          <w:b/>
          <w:bCs/>
          <w:sz w:val="32"/>
          <w:szCs w:val="32"/>
          <w:lang w:eastAsia="zh-CN"/>
        </w:rPr>
        <w:t>住建局、</w:t>
      </w:r>
      <w:r>
        <w:rPr>
          <w:rFonts w:hint="eastAsia" w:ascii="楷体" w:hAnsi="楷体" w:eastAsia="楷体" w:cs="楷体"/>
          <w:b/>
          <w:bCs/>
          <w:sz w:val="32"/>
          <w:szCs w:val="32"/>
          <w:lang w:val="en-US" w:eastAsia="zh-CN"/>
        </w:rPr>
        <w:t>昌江</w:t>
      </w:r>
      <w:r>
        <w:rPr>
          <w:rFonts w:hint="eastAsia" w:ascii="楷体" w:hAnsi="楷体" w:eastAsia="楷体" w:cs="楷体"/>
          <w:b/>
          <w:bCs/>
          <w:sz w:val="32"/>
          <w:szCs w:val="32"/>
          <w:lang w:eastAsia="zh-CN"/>
        </w:rPr>
        <w:t>公安</w:t>
      </w:r>
      <w:r>
        <w:rPr>
          <w:rFonts w:hint="eastAsia" w:ascii="楷体" w:hAnsi="楷体" w:eastAsia="楷体" w:cs="楷体"/>
          <w:b/>
          <w:bCs/>
          <w:sz w:val="32"/>
          <w:szCs w:val="32"/>
          <w:lang w:val="en-US" w:eastAsia="zh-CN"/>
        </w:rPr>
        <w:t>分</w:t>
      </w:r>
      <w:r>
        <w:rPr>
          <w:rFonts w:hint="eastAsia" w:ascii="楷体" w:hAnsi="楷体" w:eastAsia="楷体" w:cs="楷体"/>
          <w:b/>
          <w:bCs/>
          <w:sz w:val="32"/>
          <w:szCs w:val="32"/>
          <w:lang w:eastAsia="zh-CN"/>
        </w:rPr>
        <w:t>局、</w:t>
      </w:r>
      <w:r>
        <w:rPr>
          <w:rFonts w:hint="eastAsia" w:ascii="楷体" w:hAnsi="楷体" w:eastAsia="楷体" w:cs="楷体"/>
          <w:b/>
          <w:bCs/>
          <w:sz w:val="32"/>
          <w:szCs w:val="32"/>
          <w:lang w:val="en-US" w:eastAsia="zh-CN"/>
        </w:rPr>
        <w:t>区</w:t>
      </w:r>
      <w:r>
        <w:rPr>
          <w:rFonts w:hint="eastAsia" w:ascii="楷体" w:hAnsi="楷体" w:eastAsia="楷体" w:cs="楷体"/>
          <w:b/>
          <w:bCs/>
          <w:sz w:val="32"/>
          <w:szCs w:val="32"/>
          <w:lang w:eastAsia="zh-CN"/>
        </w:rPr>
        <w:t>税务局、</w:t>
      </w:r>
      <w:r>
        <w:rPr>
          <w:rFonts w:hint="eastAsia" w:ascii="楷体" w:hAnsi="楷体" w:eastAsia="楷体" w:cs="楷体"/>
          <w:b/>
          <w:bCs/>
          <w:sz w:val="32"/>
          <w:szCs w:val="32"/>
          <w:lang w:val="en-US" w:eastAsia="zh-CN"/>
        </w:rPr>
        <w:t>区</w:t>
      </w:r>
      <w:r>
        <w:rPr>
          <w:rFonts w:hint="eastAsia" w:ascii="楷体" w:hAnsi="楷体" w:eastAsia="楷体" w:cs="楷体"/>
          <w:b/>
          <w:bCs/>
          <w:sz w:val="32"/>
          <w:szCs w:val="32"/>
          <w:lang w:eastAsia="zh-CN"/>
        </w:rPr>
        <w:t>市</w:t>
      </w:r>
      <w:r>
        <w:rPr>
          <w:rFonts w:hint="eastAsia" w:ascii="楷体" w:hAnsi="楷体" w:eastAsia="楷体" w:cs="楷体"/>
          <w:b/>
          <w:bCs/>
          <w:sz w:val="32"/>
          <w:szCs w:val="32"/>
          <w:lang w:val="en-US" w:eastAsia="zh-CN"/>
        </w:rPr>
        <w:t>场监管</w:t>
      </w:r>
      <w:r>
        <w:rPr>
          <w:rFonts w:hint="eastAsia" w:ascii="楷体" w:hAnsi="楷体" w:eastAsia="楷体" w:cs="楷体"/>
          <w:b/>
          <w:bCs/>
          <w:sz w:val="32"/>
          <w:szCs w:val="32"/>
          <w:lang w:eastAsia="zh-CN"/>
        </w:rPr>
        <w:t>局、</w:t>
      </w:r>
      <w:r>
        <w:rPr>
          <w:rFonts w:hint="eastAsia" w:ascii="楷体" w:hAnsi="楷体" w:eastAsia="楷体" w:cs="楷体"/>
          <w:b/>
          <w:bCs/>
          <w:sz w:val="32"/>
          <w:szCs w:val="32"/>
          <w:lang w:val="en-US" w:eastAsia="zh-CN"/>
        </w:rPr>
        <w:t>区</w:t>
      </w:r>
      <w:r>
        <w:rPr>
          <w:rFonts w:hint="eastAsia" w:ascii="楷体" w:hAnsi="楷体" w:eastAsia="楷体" w:cs="楷体"/>
          <w:b/>
          <w:bCs/>
          <w:sz w:val="32"/>
          <w:szCs w:val="32"/>
          <w:lang w:eastAsia="zh-CN"/>
        </w:rPr>
        <w:t>人社局、</w:t>
      </w:r>
      <w:r>
        <w:rPr>
          <w:rFonts w:hint="eastAsia" w:ascii="楷体" w:hAnsi="楷体" w:eastAsia="楷体" w:cs="楷体"/>
          <w:b/>
          <w:bCs/>
          <w:sz w:val="32"/>
          <w:szCs w:val="32"/>
          <w:lang w:val="en-US" w:eastAsia="zh-CN"/>
        </w:rPr>
        <w:t>区</w:t>
      </w:r>
      <w:r>
        <w:rPr>
          <w:rFonts w:hint="eastAsia" w:ascii="楷体" w:hAnsi="楷体" w:eastAsia="楷体" w:cs="楷体"/>
          <w:b/>
          <w:bCs/>
          <w:sz w:val="32"/>
          <w:szCs w:val="32"/>
          <w:lang w:eastAsia="zh-CN"/>
        </w:rPr>
        <w:t>医保局等</w:t>
      </w:r>
      <w:r>
        <w:rPr>
          <w:rFonts w:hint="eastAsia" w:ascii="楷体" w:hAnsi="楷体" w:eastAsia="楷体" w:cs="楷体"/>
          <w:b/>
          <w:bCs/>
          <w:sz w:val="32"/>
          <w:szCs w:val="32"/>
          <w:lang w:val="en-US" w:eastAsia="zh-CN"/>
        </w:rPr>
        <w:t>区</w:t>
      </w:r>
      <w:r>
        <w:rPr>
          <w:rFonts w:hint="eastAsia" w:ascii="楷体" w:hAnsi="楷体" w:eastAsia="楷体" w:cs="楷体"/>
          <w:b/>
          <w:bCs/>
          <w:sz w:val="32"/>
          <w:szCs w:val="32"/>
          <w:lang w:eastAsia="zh-CN"/>
        </w:rPr>
        <w:t>有关部门）</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楷体" w:hAnsi="楷体" w:eastAsia="楷体" w:cs="楷体"/>
          <w:b/>
          <w:bCs/>
          <w:color w:val="000000" w:themeColor="text1"/>
          <w:sz w:val="32"/>
          <w:szCs w:val="32"/>
          <w:lang w:eastAsia="zh-CN"/>
        </w:rPr>
      </w:pPr>
      <w:r>
        <w:rPr>
          <w:rFonts w:hint="eastAsia" w:ascii="黑体" w:hAnsi="黑体" w:eastAsia="黑体" w:cs="黑体"/>
          <w:b w:val="0"/>
          <w:bCs w:val="0"/>
          <w:color w:val="000000" w:themeColor="text1"/>
          <w:sz w:val="32"/>
          <w:szCs w:val="32"/>
          <w:lang w:val="en-US" w:eastAsia="zh-CN"/>
        </w:rPr>
        <w:t>九</w:t>
      </w:r>
      <w:r>
        <w:rPr>
          <w:rFonts w:hint="eastAsia" w:ascii="黑体" w:hAnsi="黑体" w:eastAsia="黑体" w:cs="黑体"/>
          <w:b w:val="0"/>
          <w:bCs w:val="0"/>
          <w:color w:val="000000" w:themeColor="text1"/>
          <w:sz w:val="32"/>
          <w:szCs w:val="32"/>
          <w:lang w:eastAsia="zh-CN"/>
        </w:rPr>
        <w:t>、</w:t>
      </w:r>
      <w:r>
        <w:rPr>
          <w:rFonts w:hint="eastAsia" w:ascii="黑体" w:hAnsi="黑体" w:eastAsia="黑体" w:cs="黑体"/>
          <w:b w:val="0"/>
          <w:bCs w:val="0"/>
          <w:color w:val="000000" w:themeColor="text1"/>
          <w:sz w:val="32"/>
          <w:szCs w:val="32"/>
        </w:rPr>
        <w:t>强化数字化支撑能力。</w:t>
      </w:r>
      <w:r>
        <w:rPr>
          <w:rFonts w:hint="eastAsia" w:ascii="仿宋" w:hAnsi="仿宋" w:eastAsia="仿宋" w:cs="仿宋"/>
          <w:color w:val="000000" w:themeColor="text1"/>
          <w:sz w:val="32"/>
          <w:szCs w:val="32"/>
          <w:lang w:val="en-US" w:eastAsia="zh-CN"/>
        </w:rPr>
        <w:t>积极对接融入省、市</w:t>
      </w:r>
      <w:r>
        <w:rPr>
          <w:rFonts w:hint="eastAsia" w:ascii="仿宋" w:hAnsi="仿宋" w:eastAsia="仿宋" w:cs="仿宋"/>
          <w:color w:val="000000" w:themeColor="text1"/>
          <w:sz w:val="32"/>
          <w:szCs w:val="32"/>
        </w:rPr>
        <w:t>一体化政务大数据体系，</w:t>
      </w:r>
      <w:r>
        <w:rPr>
          <w:rFonts w:hint="eastAsia" w:ascii="仿宋" w:hAnsi="仿宋" w:eastAsia="仿宋" w:cs="仿宋"/>
          <w:color w:val="000000" w:themeColor="text1"/>
          <w:sz w:val="32"/>
          <w:szCs w:val="32"/>
          <w:lang w:val="en-US" w:eastAsia="zh-CN"/>
        </w:rPr>
        <w:t>按省、市统一部署</w:t>
      </w:r>
      <w:r>
        <w:rPr>
          <w:rFonts w:hint="eastAsia" w:ascii="仿宋" w:hAnsi="仿宋" w:eastAsia="仿宋" w:cs="仿宋"/>
          <w:color w:val="000000" w:themeColor="text1"/>
          <w:sz w:val="32"/>
          <w:szCs w:val="32"/>
        </w:rPr>
        <w:t>实现“按需归集</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应归尽归”。加强全</w:t>
      </w:r>
      <w:r>
        <w:rPr>
          <w:rFonts w:hint="eastAsia" w:ascii="仿宋" w:hAnsi="仿宋" w:eastAsia="仿宋" w:cs="仿宋"/>
          <w:color w:val="000000" w:themeColor="text1"/>
          <w:sz w:val="32"/>
          <w:szCs w:val="32"/>
          <w:lang w:val="en-US" w:eastAsia="zh-CN"/>
        </w:rPr>
        <w:t>区</w:t>
      </w:r>
      <w:r>
        <w:rPr>
          <w:rFonts w:hint="eastAsia" w:ascii="仿宋" w:hAnsi="仿宋" w:eastAsia="仿宋" w:cs="仿宋"/>
          <w:color w:val="000000" w:themeColor="text1"/>
          <w:sz w:val="32"/>
          <w:szCs w:val="32"/>
        </w:rPr>
        <w:t>统一的经营主体营商环境服务的信息化管理，全面链接</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整合</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开放政府涉企服务资源，丰富涉企服务场景。推进电子证照</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电子印章在市场监管</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纳税缴费</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社会保障</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医疗保障</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交通运输</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司法等领域的应用。</w:t>
      </w:r>
      <w:r>
        <w:rPr>
          <w:rFonts w:hint="eastAsia" w:ascii="楷体" w:hAnsi="楷体" w:eastAsia="楷体" w:cs="楷体"/>
          <w:b/>
          <w:bCs/>
          <w:color w:val="000000" w:themeColor="text1"/>
          <w:sz w:val="32"/>
          <w:szCs w:val="32"/>
          <w:lang w:eastAsia="zh-CN"/>
        </w:rPr>
        <w:t>（</w:t>
      </w:r>
      <w:r>
        <w:rPr>
          <w:rFonts w:hint="eastAsia" w:ascii="楷体" w:hAnsi="楷体" w:eastAsia="楷体" w:cs="楷体"/>
          <w:b/>
          <w:bCs/>
          <w:color w:val="000000" w:themeColor="text1"/>
          <w:sz w:val="32"/>
          <w:szCs w:val="32"/>
          <w:lang w:val="en-US" w:eastAsia="zh-CN"/>
        </w:rPr>
        <w:t>牵头</w:t>
      </w:r>
      <w:r>
        <w:rPr>
          <w:rFonts w:hint="eastAsia" w:ascii="楷体" w:hAnsi="楷体" w:eastAsia="楷体" w:cs="楷体"/>
          <w:b/>
          <w:bCs/>
          <w:color w:val="000000" w:themeColor="text1"/>
          <w:sz w:val="32"/>
          <w:szCs w:val="32"/>
          <w:lang w:eastAsia="zh-CN"/>
        </w:rPr>
        <w:t>单位：</w:t>
      </w:r>
      <w:r>
        <w:rPr>
          <w:rFonts w:hint="eastAsia" w:ascii="楷体" w:hAnsi="楷体" w:eastAsia="楷体" w:cs="楷体"/>
          <w:b/>
          <w:bCs/>
          <w:color w:val="000000" w:themeColor="text1"/>
          <w:sz w:val="32"/>
          <w:szCs w:val="32"/>
          <w:lang w:val="en-US" w:eastAsia="zh-CN"/>
        </w:rPr>
        <w:t>区</w:t>
      </w:r>
      <w:r>
        <w:rPr>
          <w:rFonts w:hint="eastAsia" w:ascii="楷体" w:hAnsi="楷体" w:eastAsia="楷体" w:cs="楷体"/>
          <w:b/>
          <w:bCs/>
          <w:color w:val="000000" w:themeColor="text1"/>
          <w:sz w:val="32"/>
          <w:szCs w:val="32"/>
          <w:lang w:eastAsia="zh-CN"/>
        </w:rPr>
        <w:t>发改委，</w:t>
      </w:r>
      <w:r>
        <w:rPr>
          <w:rFonts w:hint="eastAsia" w:ascii="楷体" w:hAnsi="楷体" w:eastAsia="楷体" w:cs="楷体"/>
          <w:b/>
          <w:bCs/>
          <w:color w:val="000000" w:themeColor="text1"/>
          <w:sz w:val="32"/>
          <w:szCs w:val="32"/>
          <w:lang w:val="en-US" w:eastAsia="zh-CN"/>
        </w:rPr>
        <w:t>责任单位：区市场监管局</w:t>
      </w:r>
      <w:r>
        <w:rPr>
          <w:rFonts w:hint="eastAsia" w:ascii="楷体" w:hAnsi="楷体" w:eastAsia="楷体" w:cs="楷体"/>
          <w:b/>
          <w:bCs/>
          <w:color w:val="000000" w:themeColor="text1"/>
          <w:sz w:val="32"/>
          <w:szCs w:val="32"/>
          <w:lang w:eastAsia="zh-CN"/>
        </w:rPr>
        <w:t>、</w:t>
      </w:r>
      <w:r>
        <w:rPr>
          <w:rFonts w:hint="eastAsia" w:ascii="楷体" w:hAnsi="楷体" w:eastAsia="楷体" w:cs="楷体"/>
          <w:b/>
          <w:bCs/>
          <w:color w:val="000000" w:themeColor="text1"/>
          <w:sz w:val="32"/>
          <w:szCs w:val="32"/>
          <w:lang w:val="en-US" w:eastAsia="zh-CN"/>
        </w:rPr>
        <w:t>区</w:t>
      </w:r>
      <w:r>
        <w:rPr>
          <w:rFonts w:hint="eastAsia" w:ascii="楷体" w:hAnsi="楷体" w:eastAsia="楷体" w:cs="楷体"/>
          <w:b/>
          <w:bCs/>
          <w:color w:val="000000" w:themeColor="text1"/>
          <w:sz w:val="32"/>
          <w:szCs w:val="32"/>
          <w:lang w:eastAsia="zh-CN"/>
        </w:rPr>
        <w:t>税务局、</w:t>
      </w:r>
      <w:r>
        <w:rPr>
          <w:rFonts w:hint="eastAsia" w:ascii="楷体" w:hAnsi="楷体" w:eastAsia="楷体" w:cs="楷体"/>
          <w:b/>
          <w:bCs/>
          <w:color w:val="000000" w:themeColor="text1"/>
          <w:sz w:val="32"/>
          <w:szCs w:val="32"/>
          <w:lang w:val="en-US" w:eastAsia="zh-CN"/>
        </w:rPr>
        <w:t>区</w:t>
      </w:r>
      <w:r>
        <w:rPr>
          <w:rFonts w:hint="eastAsia" w:ascii="楷体" w:hAnsi="楷体" w:eastAsia="楷体" w:cs="楷体"/>
          <w:b/>
          <w:bCs/>
          <w:color w:val="000000" w:themeColor="text1"/>
          <w:sz w:val="32"/>
          <w:szCs w:val="32"/>
          <w:lang w:eastAsia="zh-CN"/>
        </w:rPr>
        <w:t>人社局、</w:t>
      </w:r>
      <w:r>
        <w:rPr>
          <w:rFonts w:hint="eastAsia" w:ascii="楷体" w:hAnsi="楷体" w:eastAsia="楷体" w:cs="楷体"/>
          <w:b/>
          <w:bCs/>
          <w:color w:val="000000" w:themeColor="text1"/>
          <w:sz w:val="32"/>
          <w:szCs w:val="32"/>
          <w:lang w:val="en-US" w:eastAsia="zh-CN"/>
        </w:rPr>
        <w:t>区</w:t>
      </w:r>
      <w:r>
        <w:rPr>
          <w:rFonts w:hint="eastAsia" w:ascii="楷体" w:hAnsi="楷体" w:eastAsia="楷体" w:cs="楷体"/>
          <w:b/>
          <w:bCs/>
          <w:color w:val="000000" w:themeColor="text1"/>
          <w:sz w:val="32"/>
          <w:szCs w:val="32"/>
          <w:lang w:eastAsia="zh-CN"/>
        </w:rPr>
        <w:t>医保局、</w:t>
      </w:r>
      <w:r>
        <w:rPr>
          <w:rFonts w:hint="eastAsia" w:ascii="楷体" w:hAnsi="楷体" w:eastAsia="楷体" w:cs="楷体"/>
          <w:b/>
          <w:bCs/>
          <w:color w:val="000000" w:themeColor="text1"/>
          <w:sz w:val="32"/>
          <w:szCs w:val="32"/>
          <w:lang w:val="en-US" w:eastAsia="zh-CN"/>
        </w:rPr>
        <w:t>区</w:t>
      </w:r>
      <w:r>
        <w:rPr>
          <w:rFonts w:hint="eastAsia" w:ascii="楷体" w:hAnsi="楷体" w:eastAsia="楷体" w:cs="楷体"/>
          <w:b/>
          <w:bCs/>
          <w:color w:val="000000" w:themeColor="text1"/>
          <w:sz w:val="32"/>
          <w:szCs w:val="32"/>
          <w:lang w:eastAsia="zh-CN"/>
        </w:rPr>
        <w:t>交通局、</w:t>
      </w:r>
      <w:r>
        <w:rPr>
          <w:rFonts w:hint="eastAsia" w:ascii="楷体" w:hAnsi="楷体" w:eastAsia="楷体" w:cs="楷体"/>
          <w:b/>
          <w:bCs/>
          <w:color w:val="000000" w:themeColor="text1"/>
          <w:sz w:val="32"/>
          <w:szCs w:val="32"/>
          <w:lang w:val="en-US" w:eastAsia="zh-CN"/>
        </w:rPr>
        <w:t>区</w:t>
      </w:r>
      <w:r>
        <w:rPr>
          <w:rFonts w:hint="eastAsia" w:ascii="楷体" w:hAnsi="楷体" w:eastAsia="楷体" w:cs="楷体"/>
          <w:b/>
          <w:bCs/>
          <w:color w:val="000000" w:themeColor="text1"/>
          <w:sz w:val="32"/>
          <w:szCs w:val="32"/>
          <w:lang w:eastAsia="zh-CN"/>
        </w:rPr>
        <w:t>法院、</w:t>
      </w:r>
      <w:r>
        <w:rPr>
          <w:rFonts w:hint="eastAsia" w:ascii="楷体" w:hAnsi="楷体" w:eastAsia="楷体" w:cs="楷体"/>
          <w:b/>
          <w:bCs/>
          <w:color w:val="000000" w:themeColor="text1"/>
          <w:sz w:val="32"/>
          <w:szCs w:val="32"/>
          <w:lang w:val="en-US" w:eastAsia="zh-CN"/>
        </w:rPr>
        <w:t>区</w:t>
      </w:r>
      <w:r>
        <w:rPr>
          <w:rFonts w:hint="eastAsia" w:ascii="楷体" w:hAnsi="楷体" w:eastAsia="楷体" w:cs="楷体"/>
          <w:b/>
          <w:bCs/>
          <w:color w:val="000000" w:themeColor="text1"/>
          <w:sz w:val="32"/>
          <w:szCs w:val="32"/>
          <w:lang w:eastAsia="zh-CN"/>
        </w:rPr>
        <w:t>检察院、</w:t>
      </w:r>
      <w:r>
        <w:rPr>
          <w:rFonts w:hint="eastAsia" w:ascii="楷体" w:hAnsi="楷体" w:eastAsia="楷体" w:cs="楷体"/>
          <w:b/>
          <w:bCs/>
          <w:color w:val="000000" w:themeColor="text1"/>
          <w:sz w:val="32"/>
          <w:szCs w:val="32"/>
          <w:lang w:val="en-US" w:eastAsia="zh-CN"/>
        </w:rPr>
        <w:t>昌江</w:t>
      </w:r>
      <w:r>
        <w:rPr>
          <w:rFonts w:hint="eastAsia" w:ascii="楷体" w:hAnsi="楷体" w:eastAsia="楷体" w:cs="楷体"/>
          <w:b/>
          <w:bCs/>
          <w:color w:val="000000" w:themeColor="text1"/>
          <w:sz w:val="32"/>
          <w:szCs w:val="32"/>
          <w:lang w:eastAsia="zh-CN"/>
        </w:rPr>
        <w:t>公安</w:t>
      </w:r>
      <w:r>
        <w:rPr>
          <w:rFonts w:hint="eastAsia" w:ascii="楷体" w:hAnsi="楷体" w:eastAsia="楷体" w:cs="楷体"/>
          <w:b/>
          <w:bCs/>
          <w:color w:val="000000" w:themeColor="text1"/>
          <w:sz w:val="32"/>
          <w:szCs w:val="32"/>
          <w:lang w:val="en-US" w:eastAsia="zh-CN"/>
        </w:rPr>
        <w:t>分</w:t>
      </w:r>
      <w:r>
        <w:rPr>
          <w:rFonts w:hint="eastAsia" w:ascii="楷体" w:hAnsi="楷体" w:eastAsia="楷体" w:cs="楷体"/>
          <w:b/>
          <w:bCs/>
          <w:color w:val="000000" w:themeColor="text1"/>
          <w:sz w:val="32"/>
          <w:szCs w:val="32"/>
          <w:lang w:eastAsia="zh-CN"/>
        </w:rPr>
        <w:t>局、</w:t>
      </w:r>
      <w:r>
        <w:rPr>
          <w:rFonts w:hint="eastAsia" w:ascii="楷体" w:hAnsi="楷体" w:eastAsia="楷体" w:cs="楷体"/>
          <w:b/>
          <w:bCs/>
          <w:color w:val="000000" w:themeColor="text1"/>
          <w:sz w:val="32"/>
          <w:szCs w:val="32"/>
          <w:lang w:val="en-US" w:eastAsia="zh-CN"/>
        </w:rPr>
        <w:t>区</w:t>
      </w:r>
      <w:r>
        <w:rPr>
          <w:rFonts w:hint="eastAsia" w:ascii="楷体" w:hAnsi="楷体" w:eastAsia="楷体" w:cs="楷体"/>
          <w:b/>
          <w:bCs/>
          <w:color w:val="000000" w:themeColor="text1"/>
          <w:sz w:val="32"/>
          <w:szCs w:val="32"/>
          <w:lang w:eastAsia="zh-CN"/>
        </w:rPr>
        <w:t>司法局等</w:t>
      </w:r>
      <w:r>
        <w:rPr>
          <w:rFonts w:hint="eastAsia" w:ascii="楷体" w:hAnsi="楷体" w:eastAsia="楷体" w:cs="楷体"/>
          <w:b/>
          <w:bCs/>
          <w:color w:val="000000" w:themeColor="text1"/>
          <w:sz w:val="32"/>
          <w:szCs w:val="32"/>
          <w:lang w:val="en-US" w:eastAsia="zh-CN"/>
        </w:rPr>
        <w:t>区</w:t>
      </w:r>
      <w:r>
        <w:rPr>
          <w:rFonts w:hint="eastAsia" w:ascii="楷体" w:hAnsi="楷体" w:eastAsia="楷体" w:cs="楷体"/>
          <w:b/>
          <w:bCs/>
          <w:color w:val="000000" w:themeColor="text1"/>
          <w:sz w:val="32"/>
          <w:szCs w:val="32"/>
          <w:lang w:eastAsia="zh-CN"/>
        </w:rPr>
        <w:t>有关部门）</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因我区职能所限，各相关部门要积极配合市级做好工程建设项目审批、公共资源交易、市政公用服务、不动产登记、金融服务等方面数据共享和推广应用工作。</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各部门要切实提高政治站位，增强责任感使命感紧迫感，把加强数字赋能作为深入推进营商环境优化升级“一号改革工程”的重要抓手。</w:t>
      </w:r>
      <w:r>
        <w:rPr>
          <w:rFonts w:hint="eastAsia" w:ascii="仿宋" w:hAnsi="仿宋" w:eastAsia="仿宋" w:cs="仿宋"/>
          <w:sz w:val="32"/>
          <w:szCs w:val="32"/>
          <w:lang w:eastAsia="zh-CN"/>
        </w:rPr>
        <w:t>各有关部门</w:t>
      </w:r>
      <w:r>
        <w:rPr>
          <w:rFonts w:hint="eastAsia" w:ascii="仿宋" w:hAnsi="仿宋" w:eastAsia="仿宋" w:cs="仿宋"/>
          <w:sz w:val="32"/>
          <w:szCs w:val="32"/>
        </w:rPr>
        <w:t>要切实担负优化营商环境的主体责任，</w:t>
      </w:r>
      <w:r>
        <w:rPr>
          <w:rFonts w:hint="eastAsia" w:ascii="仿宋" w:hAnsi="仿宋" w:eastAsia="仿宋" w:cs="仿宋"/>
          <w:sz w:val="32"/>
          <w:szCs w:val="32"/>
          <w:lang w:eastAsia="zh-CN"/>
        </w:rPr>
        <w:t>根据</w:t>
      </w:r>
      <w:r>
        <w:rPr>
          <w:rFonts w:hint="eastAsia" w:ascii="仿宋" w:hAnsi="仿宋" w:eastAsia="仿宋" w:cs="仿宋"/>
          <w:sz w:val="32"/>
          <w:szCs w:val="32"/>
        </w:rPr>
        <w:t>细化</w:t>
      </w:r>
      <w:r>
        <w:rPr>
          <w:rFonts w:hint="eastAsia" w:ascii="仿宋" w:hAnsi="仿宋" w:eastAsia="仿宋" w:cs="仿宋"/>
          <w:sz w:val="32"/>
          <w:szCs w:val="32"/>
          <w:lang w:eastAsia="zh-CN"/>
        </w:rPr>
        <w:t>的重点任务</w:t>
      </w:r>
      <w:r>
        <w:rPr>
          <w:rFonts w:hint="eastAsia" w:ascii="仿宋" w:hAnsi="仿宋" w:eastAsia="仿宋" w:cs="仿宋"/>
          <w:sz w:val="32"/>
          <w:szCs w:val="32"/>
        </w:rPr>
        <w:t>举措</w:t>
      </w:r>
      <w:r>
        <w:rPr>
          <w:rFonts w:hint="eastAsia" w:ascii="仿宋" w:hAnsi="仿宋" w:eastAsia="仿宋" w:cs="仿宋"/>
          <w:sz w:val="32"/>
          <w:szCs w:val="32"/>
          <w:lang w:eastAsia="zh-CN"/>
        </w:rPr>
        <w:t>，</w:t>
      </w:r>
      <w:r>
        <w:rPr>
          <w:rFonts w:hint="eastAsia" w:ascii="仿宋" w:hAnsi="仿宋" w:eastAsia="仿宋" w:cs="仿宋"/>
          <w:sz w:val="32"/>
          <w:szCs w:val="32"/>
        </w:rPr>
        <w:t>压实工作责任，保障各项任务落地落实。</w:t>
      </w:r>
      <w:r>
        <w:rPr>
          <w:rFonts w:hint="eastAsia" w:ascii="仿宋" w:hAnsi="仿宋" w:eastAsia="仿宋" w:cs="仿宋"/>
          <w:sz w:val="32"/>
          <w:szCs w:val="32"/>
          <w:lang w:val="en-US" w:eastAsia="zh-CN"/>
        </w:rPr>
        <w:t>区</w:t>
      </w:r>
      <w:r>
        <w:rPr>
          <w:rFonts w:hint="eastAsia" w:ascii="仿宋" w:hAnsi="仿宋" w:eastAsia="仿宋" w:cs="仿宋"/>
          <w:sz w:val="32"/>
          <w:szCs w:val="32"/>
        </w:rPr>
        <w:t>营商环境指挥部要加大统筹协调力度，确保改革措施取得更大实效</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pStyle w:val="24"/>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4"/>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4"/>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4"/>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昌江区人民政府办公室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关于印发《</w:t>
      </w:r>
      <w:r>
        <w:rPr>
          <w:rFonts w:hint="eastAsia" w:ascii="方正小标宋简体" w:hAnsi="方正小标宋简体" w:eastAsia="方正小标宋简体" w:cs="方正小标宋简体"/>
          <w:b w:val="0"/>
          <w:bCs w:val="0"/>
          <w:sz w:val="44"/>
          <w:szCs w:val="44"/>
        </w:rPr>
        <w:t>昌江区2023年农业生产社会化</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sz w:val="44"/>
          <w:szCs w:val="44"/>
          <w:lang w:val="en-US"/>
        </w:rPr>
      </w:pPr>
      <w:r>
        <w:rPr>
          <w:rFonts w:hint="eastAsia" w:ascii="方正小标宋简体" w:hAnsi="方正小标宋简体" w:eastAsia="方正小标宋简体" w:cs="方正小标宋简体"/>
          <w:b w:val="0"/>
          <w:bCs w:val="0"/>
          <w:sz w:val="44"/>
          <w:szCs w:val="44"/>
        </w:rPr>
        <w:t>服务项目实施方案</w:t>
      </w:r>
      <w:r>
        <w:rPr>
          <w:rFonts w:hint="eastAsia" w:ascii="方正小标宋简体" w:hAnsi="方正小标宋简体" w:eastAsia="方正小标宋简体" w:cs="方正小标宋简体"/>
          <w:b w:val="0"/>
          <w:bCs w:val="0"/>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各乡（镇）人民政府、街道办事处，区政府相关部门：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现将《昌江区2023年农业生产社会化服务项目实施方案》的通知印发给你们，请认真贯彻落实。</w:t>
      </w:r>
    </w:p>
    <w:p>
      <w:pPr>
        <w:pStyle w:val="2"/>
        <w:rPr>
          <w:rFonts w:hint="eastAsia" w:ascii="仿宋" w:hAnsi="仿宋" w:eastAsia="仿宋" w:cs="仿宋"/>
          <w:b w:val="0"/>
          <w:bCs w:val="0"/>
          <w:sz w:val="32"/>
          <w:szCs w:val="32"/>
          <w:lang w:val="en-US" w:eastAsia="zh-CN"/>
        </w:rPr>
      </w:pP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left="6388" w:leftChars="2280" w:hanging="1600" w:hangingChars="500"/>
        <w:jc w:val="both"/>
        <w:textAlignment w:val="auto"/>
        <w:rPr>
          <w:rFonts w:hint="default"/>
          <w:lang w:val="en-US" w:eastAsia="zh-CN"/>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color w:val="000000"/>
          <w:kern w:val="0"/>
          <w:sz w:val="32"/>
          <w:szCs w:val="32"/>
          <w:lang w:val="en-US" w:eastAsia="zh-CN" w:bidi="ar"/>
        </w:rPr>
        <w:t>昌江区人民政府办公室                        2023年10月11日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val="0"/>
          <w:sz w:val="44"/>
          <w:szCs w:val="44"/>
        </w:rPr>
      </w:pPr>
    </w:p>
    <w:p>
      <w:pPr>
        <w:pStyle w:val="2"/>
        <w:rPr>
          <w:rFonts w:hint="eastAsia" w:ascii="方正小标宋简体" w:hAnsi="方正小标宋简体" w:eastAsia="方正小标宋简体" w:cs="方正小标宋简体"/>
          <w:b w:val="0"/>
          <w:bCs w:val="0"/>
          <w:sz w:val="44"/>
          <w:szCs w:val="44"/>
        </w:rPr>
      </w:pPr>
    </w:p>
    <w:p>
      <w:pPr>
        <w:rPr>
          <w:rFonts w:hint="eastAsia" w:ascii="方正小标宋简体" w:hAnsi="方正小标宋简体" w:eastAsia="方正小标宋简体" w:cs="方正小标宋简体"/>
          <w:b w:val="0"/>
          <w:bCs w:val="0"/>
          <w:sz w:val="44"/>
          <w:szCs w:val="44"/>
        </w:rPr>
      </w:pPr>
    </w:p>
    <w:p>
      <w:pPr>
        <w:pStyle w:val="2"/>
        <w:rPr>
          <w:rFonts w:hint="eastAsia" w:ascii="方正小标宋简体" w:hAnsi="方正小标宋简体" w:eastAsia="方正小标宋简体" w:cs="方正小标宋简体"/>
          <w:b w:val="0"/>
          <w:bCs w:val="0"/>
          <w:sz w:val="44"/>
          <w:szCs w:val="44"/>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昌江区2023年农业生产社会化</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服务项目实施方案</w:t>
      </w:r>
    </w:p>
    <w:p>
      <w:pPr>
        <w:ind w:firstLine="640" w:firstLineChars="200"/>
        <w:rPr>
          <w:rFonts w:hint="eastAsia" w:ascii="仿宋_GB2312" w:hAnsi="仿宋"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为进一步规范对农业社会化服务项目实施的管理，不断提高财政支农资金的使用效率，全面提升我区农业生产的社会化服务水平，着力解决小农户与现代农业发展的有效衔接。根据省农业农村厅《关于印发2023年中央财政支持农业生产托管项目实施方案的通知》（赣农规计字〔2023〕14号）文件精神，结合我区当前农业生产社会化服务发展情况，现制定昌江区2023年农业生产社会化服务项目实施方案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一、基本原则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1.聚焦服务小农户。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把服务小农户作为政策支持的重点，着力解决小农户生产现代化难题.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lang w:val="en-US" w:eastAsia="zh-CN"/>
        </w:rPr>
        <w:t>2.</w:t>
      </w:r>
      <w:r>
        <w:rPr>
          <w:rFonts w:hint="eastAsia" w:ascii="楷体" w:hAnsi="楷体" w:eastAsia="楷体" w:cs="楷体"/>
          <w:b/>
          <w:bCs/>
          <w:color w:val="000000"/>
          <w:sz w:val="32"/>
          <w:szCs w:val="32"/>
        </w:rPr>
        <w:t>聚焦为农业生产托管为主的服务方式。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依据农业机械化的情况，劳动力转移程度、农户生产需求、服务主体服务能力等因数，根据我区的实际情况，今年农业生产托管服务重点是做好病虫害统防统治等关键薄弱环节。对于农户家庭经营意愿较强的地区，可以从推广单环节、多环节托管入手，逐步扩大托管覆盖面；对于农业劳动力转移程度较高的地区，可以重点推广全程托管等模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lang w:val="en-US" w:eastAsia="zh-CN"/>
        </w:rPr>
        <w:t>3.</w:t>
      </w:r>
      <w:r>
        <w:rPr>
          <w:rFonts w:hint="eastAsia" w:ascii="楷体" w:hAnsi="楷体" w:eastAsia="楷体" w:cs="楷体"/>
          <w:b/>
          <w:bCs/>
          <w:color w:val="000000"/>
          <w:sz w:val="32"/>
          <w:szCs w:val="32"/>
        </w:rPr>
        <w:t>坚持推进服务规模经营。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要把突破小规模分散经营、发展农业规模化生产作为支持农业生产社会化服务的关键。要以支持农业生产托管为重点，推进服务带动型经营，在尊重农户独立经营主体地位前提下,集中连片推进规模化生产。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lang w:val="en-US" w:eastAsia="zh-CN"/>
        </w:rPr>
        <w:t>4.</w:t>
      </w:r>
      <w:r>
        <w:rPr>
          <w:rFonts w:hint="eastAsia" w:ascii="楷体" w:hAnsi="楷体" w:eastAsia="楷体" w:cs="楷体"/>
          <w:b/>
          <w:bCs/>
          <w:color w:val="000000"/>
          <w:sz w:val="32"/>
          <w:szCs w:val="32"/>
        </w:rPr>
        <w:t>聚焦服务重要农产品。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重点支持水稻和油料作物生产，支持水稻品牌建设倾斜。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lang w:val="en-US" w:eastAsia="zh-CN"/>
        </w:rPr>
        <w:t>5.</w:t>
      </w:r>
      <w:r>
        <w:rPr>
          <w:rFonts w:hint="eastAsia" w:ascii="楷体" w:hAnsi="楷体" w:eastAsia="楷体" w:cs="楷体"/>
          <w:b/>
          <w:bCs/>
          <w:color w:val="000000"/>
          <w:sz w:val="32"/>
          <w:szCs w:val="32"/>
        </w:rPr>
        <w:t>坚持以市场为主导。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重点支持市场供给不足的农业生产关键薄弱环节和农民急需的生产环节的服务。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二、目标任务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2023年全区完成农业社会化服务面积4.3万亩，折合服务面积0.31万亩，完成市局下达我区0.31万亩的任务，项目为机防0.31万亩。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三、项目支持环节与承接主体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（一）补助环节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为全面提高全区水稻生产机械化水平，切实提升农业生产组织化程度和社会化服务能力，按照“覆盖全程、综合配套、能力提升”的要求，重点选择水稻生产的机防生产环节为社会化服务购买的主要内容，作物品种为水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(二)承接主体的要求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承接社会化服务的主体是指依法在民政部门登记成立或经国务院批准免予登记的社会组织，以及依法在市监部门或行业主管部门登记成立的企业、机构等社会化承接主体。承接主体应具备《农业部办公厅财政部办公厅关于支持农业生产社会化服务工作的通知》（农办财〔2017〕41号）规定的4个基本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1.应有一定的社会化服务经验，原则上从事社会化服务达一年以上。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2.拥有与其服务内容、服务能力相匹配的专业农业机械和设备以及其他能力。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依法具有独立承担民事责任能力，治理结构健全、内部管理和监督制度完善，具有独立、健全的财务管理、会计核算和资产管理制度，具有依法缴纳税收和社会保险的良好记录，社会信誉、商业信誉良好，其所提供的服务在质量和价格方面受到服务对象的认可和好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4.同意购买并安装远程电子监测设备，愿意接受社会化服务行业管理部门的监管，符合法律、法规规定以及项目要求的其他条件。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（三）承接主体认定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由服务组织自主申报，进入市级名录的单位有优先权，可以享有农业生产托管服务的资格，每项服务的承接主体原则上不少于三家。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（四）合同签订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确定后的承接主体要与购买主体(区农业农村水利局)签订2023年农业生产社会化服务项目政府购买服务合同。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四、补助机制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(一)项目资金安排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2023年农业生产社会化服务项目资金30万元。具体使用安排如下：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1.机防4.3万亩/次，机防总补助资金30万元;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（二）项目补助办法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000000"/>
          <w:sz w:val="32"/>
          <w:szCs w:val="32"/>
        </w:rPr>
      </w:pPr>
      <w:r>
        <w:rPr>
          <w:rFonts w:hint="eastAsia" w:ascii="仿宋_GB2312" w:hAnsi="仿宋" w:eastAsia="仿宋_GB2312" w:cs="仿宋"/>
          <w:b/>
          <w:bCs/>
          <w:color w:val="000000"/>
          <w:sz w:val="32"/>
          <w:szCs w:val="32"/>
        </w:rPr>
        <w:t>1.补助起点：</w:t>
      </w:r>
      <w:r>
        <w:rPr>
          <w:rFonts w:hint="eastAsia" w:ascii="仿宋" w:hAnsi="仿宋" w:eastAsia="仿宋" w:cs="仿宋"/>
          <w:color w:val="000000"/>
          <w:sz w:val="32"/>
          <w:szCs w:val="32"/>
        </w:rPr>
        <w:t>单季实际完成作业量，机防少于1000亩不享受单项补助。实际完成的作业量是指承接主体对外服务的作业量，不包括为自己提供的服务，以及承接主体间互相提供的服务;也不包括对昌江区外提供服务的作业量。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000000"/>
          <w:sz w:val="32"/>
          <w:szCs w:val="32"/>
        </w:rPr>
      </w:pPr>
      <w:r>
        <w:rPr>
          <w:rFonts w:hint="eastAsia" w:ascii="仿宋_GB2312" w:hAnsi="仿宋" w:eastAsia="仿宋_GB2312" w:cs="仿宋"/>
          <w:b/>
          <w:bCs/>
          <w:color w:val="000000"/>
          <w:sz w:val="32"/>
          <w:szCs w:val="32"/>
        </w:rPr>
        <w:t>2.补助标准：</w:t>
      </w:r>
      <w:r>
        <w:rPr>
          <w:rFonts w:hint="eastAsia" w:ascii="仿宋" w:hAnsi="仿宋" w:eastAsia="仿宋" w:cs="仿宋"/>
          <w:color w:val="000000"/>
          <w:sz w:val="32"/>
          <w:szCs w:val="32"/>
        </w:rPr>
        <w:t>按照服务合同实际完成作业量进行补助，机防(水稻、油料)每季每亩每次补助不高于7元.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(三)补助方式和补助流程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补助资金实行“谁服务、补助谁”，“先服务、后补助”。区农业农村水利局要与承接主体签订承接服务合同，承接主体要与服务对象签订服务合同，实行双层合同管理。服务时，承接主体须按合同约定完成作业量，并填写服务作业登记表，同时对每个服务作业点用相机或手机照相并存入电子图片档案。服务合同完成后，由服务对象在服务作业登记表上签字确认，由村级进行作业核实，报经乡(镇)政府审核，再由承接主体向区农业农村水利局提供验收申请。验收材料包括项目过程中的照片、服务作业登记表、服务作业汇总表、实际作业核查表、补助资金申请表等。区农业农村水利局可根据承接主体实际完成作业情况预拨资金，资金总量不超过70%，其余部分待项目验收后予以拨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五、项目验收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1.村级作业核实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每季服务作业完成后，核查员(或联合用户)及时检验服务质量，对质量合格、面积准确的服务组织，由作业机手、用户、核查员在《昌江区农业生产社会化服务实际作业量核查表》上三方签字，并对服务内容的真实性、准确性负责。村级汇总后，对服务方和用户、作业质量、作业面积等情况进行全面核实，并在村务公开栏公示7天。无异议后，以村级为单位填报《农业生产社会化服务补贴资金申请表》，加盖村委会公章后，经乡（镇）人民政府审核，加盖公章后，上报区农业农村水利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2.区级审核验收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区农业农村水利局组织相关人员成立验收小组对承接主体上报的作业量进行验收，实行档案检查和实地抽查，结合区社会化服务公共平台获取的数据进行比较。验收小组对服务组织上报的服务面积逐个进行抽查，每个主体核查面积不少于作业面积的20%。根据验收结果，核定承接主体作业量确定补助资金，并通过部门公示栏公示7天以上，无异议后拨付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六、时间安排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2023年8月底前，完成申报农业生产社会化服务组织市级名录的入库工作。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2023年11-12月，各社会化服务承接主体申报服务面积和质量，由区农业农村水利局验收小组进行核实验收，结果予以公示，公示无误后拨付资金。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2023年12月，进行项目总结，绩效自评。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七、保障措施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（一）加强组织领导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为确保农业生产社会化服务项目工作顺利实施，取得实效。成立昌江区2023年农业生产托管服务项目领导小组，由区人民政府分管副区长担任组长，区农业农村水利局、区财政局主要领导担任副组长，各项目乡镇分管领导、区财政局、区农业农村水利局及相关单位分管领导为成员。领导小组负责全面统筹协调全区农业生产社会化服务项目相关工作。领导小组下设办公室在区农业农村水利局，由区农业农村水利局主要领导兼任办公室主任，分管领导任办公室副主任，负责处理社会化服务项目日常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（二）强化政策支持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整合区级资金，协调有关部门，给予政策和资金上的支持，对纳入农业生产社会化服务组织市级名录的主体，优先办理金融贷款支持，区财政安排工作经费10万元用于保障项目的实施，各部门通力协作，全力支持项目的顺利建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（三）加大政策宣传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通过网络、报纸、微信等方式，宣传农业生产社会化服务项目政府购买服务试点的政策和成效，扩大社会影响力。随时掌握和总结试点的好经验、好做法，及时向省财政厅、省农业农村厅汇报项目进展情况、资金使用管理情况和其他相关信息，加强工作沟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（四）抓好绩效评价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当年项目实施结束后，由区农业农村水利局牵头组织开展绩效自评，推广好的做法经验，报市级复核。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附件：1.昌江区2023年农业生产社会化服务项目政府购买服务合同</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2.农业生产托管服务合同（示范文本）</w:t>
      </w:r>
    </w:p>
    <w:p>
      <w:pPr>
        <w:rPr>
          <w:rFonts w:hint="eastAsia" w:ascii="仿宋_GB2312" w:hAnsi="仿宋" w:eastAsia="仿宋_GB2312" w:cs="仿宋"/>
          <w:color w:val="000000"/>
          <w:sz w:val="32"/>
          <w:szCs w:val="32"/>
        </w:rPr>
      </w:pPr>
    </w:p>
    <w:p>
      <w:pPr>
        <w:rPr>
          <w:rFonts w:hint="eastAsia" w:ascii="仿宋_GB2312" w:hAnsi="仿宋" w:eastAsia="仿宋_GB2312" w:cs="仿宋"/>
          <w:color w:val="000000"/>
          <w:sz w:val="32"/>
          <w:szCs w:val="32"/>
        </w:rPr>
      </w:pPr>
    </w:p>
    <w:p>
      <w:pPr>
        <w:spacing w:line="600" w:lineRule="exact"/>
        <w:rPr>
          <w:rFonts w:hint="eastAsia" w:ascii="仿宋_GB2312" w:hAnsi="宋体" w:eastAsia="仿宋_GB2312" w:cs="宋体"/>
          <w:color w:val="000000"/>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附件1</w:t>
      </w:r>
    </w:p>
    <w:p>
      <w:pPr>
        <w:spacing w:line="600" w:lineRule="exact"/>
        <w:jc w:val="both"/>
        <w:rPr>
          <w:rFonts w:hint="eastAsia" w:ascii="宋体" w:hAnsi="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昌江区2023年农业生产社会化服务项目</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pacing w:val="-20"/>
          <w:w w:val="90"/>
          <w:sz w:val="44"/>
          <w:szCs w:val="44"/>
        </w:rPr>
      </w:pPr>
      <w:r>
        <w:rPr>
          <w:rFonts w:hint="eastAsia" w:ascii="方正小标宋简体" w:hAnsi="方正小标宋简体" w:eastAsia="方正小标宋简体" w:cs="方正小标宋简体"/>
          <w:b w:val="0"/>
          <w:bCs w:val="0"/>
          <w:sz w:val="44"/>
          <w:szCs w:val="44"/>
        </w:rPr>
        <w:t>政府购买服务合同</w:t>
      </w:r>
    </w:p>
    <w:p>
      <w:pPr>
        <w:spacing w:line="600" w:lineRule="exact"/>
        <w:jc w:val="center"/>
        <w:rPr>
          <w:rFonts w:hint="eastAsia" w:ascii="宋体" w:hAnsi="宋体" w:cs="宋体"/>
          <w:spacing w:val="-20"/>
          <w:w w:val="90"/>
          <w:sz w:val="44"/>
          <w:szCs w:val="44"/>
        </w:rPr>
      </w:pPr>
    </w:p>
    <w:p>
      <w:pPr>
        <w:spacing w:line="500" w:lineRule="exact"/>
        <w:rPr>
          <w:rFonts w:hint="eastAsia" w:ascii="仿宋" w:hAnsi="仿宋" w:eastAsia="仿宋" w:cs="仿宋"/>
          <w:sz w:val="32"/>
          <w:szCs w:val="32"/>
        </w:rPr>
      </w:pPr>
      <w:r>
        <w:rPr>
          <w:rFonts w:hint="eastAsia" w:ascii="仿宋" w:hAnsi="仿宋" w:eastAsia="仿宋" w:cs="仿宋"/>
          <w:sz w:val="32"/>
          <w:szCs w:val="32"/>
        </w:rPr>
        <w:t>甲方（购买主体）：昌江区农业农村水利局</w:t>
      </w:r>
    </w:p>
    <w:p>
      <w:pPr>
        <w:spacing w:line="500" w:lineRule="exact"/>
        <w:rPr>
          <w:rFonts w:hint="eastAsia" w:ascii="仿宋" w:hAnsi="仿宋" w:eastAsia="仿宋" w:cs="仿宋"/>
          <w:sz w:val="32"/>
          <w:szCs w:val="32"/>
        </w:rPr>
      </w:pPr>
      <w:r>
        <w:rPr>
          <w:rFonts w:hint="eastAsia" w:ascii="仿宋" w:hAnsi="仿宋" w:eastAsia="仿宋" w:cs="仿宋"/>
          <w:sz w:val="32"/>
          <w:szCs w:val="32"/>
        </w:rPr>
        <w:t>乙方（承接主体）：</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昌江区人民政府办公室印发的《昌江区2023年农业生产社会化服务项目实施方案》的文件要求，经昌江区农业生产社会化服务领导小组审核公示后确定你单位承接XX万元的（机防、机育、机插、机烘、全程托管）任务，为保证所购买服务的质量，明确双方的权利义务，甲乙双方在平等、自愿、协商一致的基础上，就有关事宜达成如下协议：</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第一条 项目服务补助标准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按照（机防、机育、机插、机烘、全程托管）</w:t>
      </w:r>
      <w:r>
        <w:rPr>
          <w:rFonts w:hint="eastAsia" w:ascii="仿宋" w:hAnsi="仿宋" w:eastAsia="仿宋" w:cs="仿宋"/>
          <w:sz w:val="32"/>
          <w:szCs w:val="32"/>
          <w:u w:val="single"/>
        </w:rPr>
        <w:t xml:space="preserve">     </w:t>
      </w:r>
      <w:r>
        <w:rPr>
          <w:rFonts w:hint="eastAsia" w:ascii="仿宋" w:hAnsi="仿宋" w:eastAsia="仿宋" w:cs="仿宋"/>
          <w:sz w:val="32"/>
          <w:szCs w:val="32"/>
        </w:rPr>
        <w:t>元/亩（吨）补助标准进行补助。实际补助以作业量（和用电量）核定为准，超过承接任务的作业量不予追加补助。</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第二条 项目服务质量</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服务单位和服务对象要签订服务协议(附：浮梁县农业农村生产社会化托管服务作业合同、浮梁县农业生产社会化服务对象承诺书）。</w:t>
      </w:r>
    </w:p>
    <w:p>
      <w:pPr>
        <w:spacing w:line="600" w:lineRule="exact"/>
        <w:ind w:firstLine="643" w:firstLineChars="200"/>
        <w:rPr>
          <w:rFonts w:hint="eastAsia" w:ascii="仿宋" w:hAnsi="仿宋" w:eastAsia="仿宋" w:cs="仿宋"/>
          <w:b/>
          <w:sz w:val="32"/>
          <w:szCs w:val="32"/>
        </w:rPr>
      </w:pPr>
      <w:r>
        <w:rPr>
          <w:rFonts w:hint="eastAsia" w:ascii="仿宋_GB2312" w:hAnsi="仿宋" w:eastAsia="仿宋_GB2312" w:cs="仿宋"/>
          <w:b/>
          <w:bCs/>
          <w:sz w:val="32"/>
          <w:szCs w:val="32"/>
        </w:rPr>
        <w:t xml:space="preserve">第三条 </w:t>
      </w:r>
      <w:r>
        <w:rPr>
          <w:rFonts w:hint="eastAsia" w:ascii="仿宋" w:hAnsi="仿宋" w:eastAsia="仿宋" w:cs="仿宋"/>
          <w:b/>
          <w:sz w:val="32"/>
          <w:szCs w:val="32"/>
        </w:rPr>
        <w:t>服务内容</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1.作业时间：预计为</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月底-</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月底。</w:t>
      </w:r>
    </w:p>
    <w:p>
      <w:pPr>
        <w:spacing w:line="600" w:lineRule="exact"/>
        <w:ind w:firstLine="643"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第四条 项目验收标准</w:t>
      </w:r>
    </w:p>
    <w:p>
      <w:pPr>
        <w:spacing w:line="600" w:lineRule="exact"/>
        <w:ind w:firstLine="640" w:firstLineChars="200"/>
        <w:rPr>
          <w:rFonts w:hint="eastAsia" w:ascii="楷体_GB2312" w:eastAsia="楷体_GB2312"/>
          <w:bCs/>
          <w:color w:val="000000"/>
          <w:sz w:val="32"/>
          <w:szCs w:val="32"/>
          <w:shd w:val="clear" w:color="auto" w:fill="FFFFFF"/>
        </w:rPr>
      </w:pPr>
      <w:r>
        <w:rPr>
          <w:rFonts w:hint="eastAsia" w:ascii="楷体_GB2312" w:eastAsia="楷体_GB2312"/>
          <w:bCs/>
          <w:color w:val="000000"/>
          <w:sz w:val="32"/>
          <w:szCs w:val="32"/>
          <w:shd w:val="clear" w:color="auto" w:fill="FFFFFF"/>
        </w:rPr>
        <w:t>1.村级作业核实</w:t>
      </w:r>
    </w:p>
    <w:p>
      <w:pPr>
        <w:spacing w:line="60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服务作业完成后，核查员（或联合用户）及时检验服务质量</w:t>
      </w:r>
      <w:r>
        <w:rPr>
          <w:rFonts w:hint="eastAsia" w:ascii="仿宋" w:hAnsi="仿宋" w:eastAsia="仿宋" w:cs="仿宋"/>
          <w:sz w:val="32"/>
          <w:szCs w:val="32"/>
          <w:shd w:val="clear" w:color="auto" w:fill="FFFFFF"/>
        </w:rPr>
        <w:t>并依据</w:t>
      </w:r>
      <w:r>
        <w:rPr>
          <w:rFonts w:hint="eastAsia" w:ascii="仿宋" w:hAnsi="仿宋" w:eastAsia="仿宋" w:cs="仿宋"/>
          <w:sz w:val="32"/>
          <w:szCs w:val="32"/>
        </w:rPr>
        <w:t>昌江区农业农村生产社会化服务对象承诺书</w:t>
      </w:r>
      <w:r>
        <w:rPr>
          <w:rFonts w:hint="eastAsia" w:ascii="仿宋" w:hAnsi="仿宋" w:eastAsia="仿宋" w:cs="仿宋"/>
          <w:color w:val="000000"/>
          <w:sz w:val="32"/>
          <w:szCs w:val="32"/>
          <w:shd w:val="clear" w:color="auto" w:fill="FFFFFF"/>
        </w:rPr>
        <w:t>，对质量合格、服务对象签字，并对服务内容的真实性、准确性负责。村委会汇总后，对服务方和用户、作业质量等情况进行全面核实，并在村务公开栏公示7天。无异议后，以村为单位填报《农业生产社会化服务补贴资金申请表》，加盖村委会公章，经乡（镇）人民政府审核，加盖公章后，上报</w:t>
      </w:r>
      <w:r>
        <w:rPr>
          <w:rFonts w:hint="eastAsia" w:ascii="仿宋" w:hAnsi="仿宋" w:eastAsia="仿宋" w:cs="仿宋"/>
          <w:sz w:val="32"/>
          <w:szCs w:val="32"/>
        </w:rPr>
        <w:t>区农业农村水利局</w:t>
      </w:r>
      <w:r>
        <w:rPr>
          <w:rFonts w:hint="eastAsia" w:ascii="仿宋" w:hAnsi="仿宋" w:eastAsia="仿宋" w:cs="仿宋"/>
          <w:color w:val="000000"/>
          <w:sz w:val="32"/>
          <w:szCs w:val="32"/>
          <w:shd w:val="clear" w:color="auto" w:fill="FFFFFF"/>
        </w:rPr>
        <w:t>。</w:t>
      </w:r>
    </w:p>
    <w:p>
      <w:pPr>
        <w:spacing w:line="600" w:lineRule="exact"/>
        <w:ind w:firstLine="640" w:firstLineChars="200"/>
        <w:rPr>
          <w:rFonts w:hint="eastAsia" w:ascii="楷体_GB2312" w:eastAsia="楷体_GB2312"/>
          <w:bCs/>
          <w:color w:val="000000"/>
          <w:sz w:val="32"/>
          <w:szCs w:val="32"/>
          <w:shd w:val="clear" w:color="auto" w:fill="FFFFFF"/>
        </w:rPr>
      </w:pPr>
      <w:r>
        <w:rPr>
          <w:rFonts w:hint="eastAsia" w:ascii="楷体_GB2312" w:eastAsia="楷体_GB2312"/>
          <w:bCs/>
          <w:color w:val="000000"/>
          <w:sz w:val="32"/>
          <w:szCs w:val="32"/>
          <w:shd w:val="clear" w:color="auto" w:fill="FFFFFF"/>
        </w:rPr>
        <w:t>2.区级审核验收</w:t>
      </w:r>
    </w:p>
    <w:p>
      <w:pPr>
        <w:pStyle w:val="15"/>
        <w:widowControl w:val="0"/>
        <w:snapToGrid w:val="0"/>
        <w:spacing w:before="0" w:beforeAutospacing="0" w:after="0" w:afterAutospacing="0" w:line="600" w:lineRule="exact"/>
        <w:ind w:firstLine="640" w:firstLineChars="200"/>
        <w:jc w:val="both"/>
        <w:rPr>
          <w:rFonts w:hint="eastAsia" w:ascii="仿宋" w:hAnsi="仿宋" w:eastAsia="仿宋" w:cs="仿宋"/>
          <w:color w:val="000000"/>
          <w:sz w:val="32"/>
          <w:szCs w:val="32"/>
          <w:shd w:val="clear" w:color="auto" w:fill="FFFFFF"/>
        </w:rPr>
      </w:pPr>
      <w:r>
        <w:rPr>
          <w:rFonts w:hint="eastAsia" w:ascii="仿宋" w:hAnsi="仿宋" w:eastAsia="仿宋" w:cs="仿宋"/>
          <w:sz w:val="32"/>
          <w:szCs w:val="32"/>
        </w:rPr>
        <w:t>区农业农村水利局</w:t>
      </w:r>
      <w:r>
        <w:rPr>
          <w:rFonts w:hint="eastAsia" w:ascii="仿宋" w:hAnsi="仿宋" w:eastAsia="仿宋" w:cs="仿宋"/>
          <w:color w:val="000000"/>
          <w:sz w:val="32"/>
          <w:szCs w:val="32"/>
          <w:shd w:val="clear" w:color="auto" w:fill="FFFFFF"/>
        </w:rPr>
        <w:t>验收小组对承接主体上报的作业量进行验收，实行档案检查、监管数据和实地抽查（或结合供电部门出具电费发票获取的数据进行比较）。验收小组对服务组织上报的服务数量进行抽查，发现承接主体采取造假行为骗取补助资金的，依照《财政违法行为处罚处分条例》有关规定处理，并在五年内不得申请和享受财政支农补助项目，并取消其服务资格。根据验收结果，核定承接主体作业量及拟补助资金，通过部门公示栏予以公示，公示时间不少于7天。</w:t>
      </w:r>
    </w:p>
    <w:p>
      <w:pPr>
        <w:pStyle w:val="15"/>
        <w:widowControl w:val="0"/>
        <w:snapToGrid w:val="0"/>
        <w:spacing w:before="0" w:beforeAutospacing="0" w:after="0" w:afterAutospacing="0" w:line="600" w:lineRule="exact"/>
        <w:ind w:firstLine="643" w:firstLineChars="200"/>
        <w:jc w:val="both"/>
        <w:rPr>
          <w:rFonts w:hint="eastAsia" w:ascii="仿宋" w:hAnsi="仿宋" w:eastAsia="仿宋" w:cs="仿宋"/>
          <w:b/>
          <w:sz w:val="32"/>
          <w:szCs w:val="32"/>
        </w:rPr>
      </w:pPr>
      <w:r>
        <w:rPr>
          <w:rFonts w:hint="eastAsia" w:ascii="仿宋" w:hAnsi="仿宋" w:eastAsia="仿宋" w:cs="仿宋"/>
          <w:b/>
          <w:sz w:val="32"/>
          <w:szCs w:val="32"/>
        </w:rPr>
        <w:t>第五条 付款方式</w:t>
      </w:r>
    </w:p>
    <w:p>
      <w:pPr>
        <w:spacing w:line="6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采取分期预付款的方式，甲方根据乙方作业实际完成情况预拨资金，总量不超过70%，经验收公示后无异议的拨付剩余款给乙方。</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第六条</w:t>
      </w:r>
      <w:r>
        <w:rPr>
          <w:rFonts w:hint="eastAsia" w:eastAsia="仿宋_GB2312"/>
          <w:b/>
          <w:sz w:val="32"/>
          <w:szCs w:val="32"/>
        </w:rPr>
        <w:t xml:space="preserve"> </w:t>
      </w:r>
      <w:r>
        <w:rPr>
          <w:rFonts w:hint="eastAsia" w:ascii="仿宋_GB2312" w:eastAsia="仿宋_GB2312"/>
          <w:b/>
          <w:sz w:val="32"/>
          <w:szCs w:val="32"/>
        </w:rPr>
        <w:t>合同期限与终止</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1.合同期限：自双方签字之日起到单项补助金额使用完毕自然终止。</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2.合同的终止</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（1）乙方服务能力丧失，致使服务无法正常进行的；</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（2）在履行合同过程中，发现乙方未按《昌江区2023年农业生产社会化服务项目实施方案》及其它相关规定实施造成合同无法履行的。</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第七条</w:t>
      </w:r>
      <w:r>
        <w:rPr>
          <w:rFonts w:hint="eastAsia" w:eastAsia="仿宋_GB2312"/>
          <w:b/>
          <w:sz w:val="32"/>
          <w:szCs w:val="32"/>
        </w:rPr>
        <w:t xml:space="preserve"> </w:t>
      </w:r>
      <w:r>
        <w:rPr>
          <w:rFonts w:hint="eastAsia" w:ascii="仿宋_GB2312" w:eastAsia="仿宋_GB2312"/>
          <w:b/>
          <w:sz w:val="32"/>
          <w:szCs w:val="32"/>
        </w:rPr>
        <w:t>双方权利和义务</w:t>
      </w:r>
    </w:p>
    <w:p>
      <w:pPr>
        <w:spacing w:line="60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（一）甲方权利、义务</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１.项目为2023年度内实施，甲方应及时做好作业量的核实、监管和申请补助发放的相关工作。</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２.协调乙方在提供服务过程相关的政府部门和单位。</w:t>
      </w:r>
    </w:p>
    <w:p>
      <w:pPr>
        <w:spacing w:line="60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（二）乙方权利、义务</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1.乙方在履行合同过程中，应按本合同如实报告项目进展情况，按时、按标准完成项目任务。</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2.乙方提供的机具工作状态良好，按本地机械作业标准及作业习惯完成作业量，乙方必须确保安全生产，在作业中发生事故由乙方自行承担。</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3.其他必要的支持条件。</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第八条 违约责任</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甲、乙双方按照《中</w:t>
      </w:r>
      <w:r>
        <w:rPr>
          <w:rFonts w:hint="eastAsia" w:ascii="仿宋" w:hAnsi="仿宋" w:eastAsia="仿宋" w:cs="仿宋"/>
          <w:sz w:val="32"/>
          <w:szCs w:val="32"/>
          <w:lang w:val="en-US" w:eastAsia="zh-CN"/>
        </w:rPr>
        <w:t>华</w:t>
      </w:r>
      <w:bookmarkStart w:id="0" w:name="_GoBack"/>
      <w:bookmarkEnd w:id="0"/>
      <w:r>
        <w:rPr>
          <w:rFonts w:hint="eastAsia" w:ascii="仿宋" w:hAnsi="仿宋" w:eastAsia="仿宋" w:cs="仿宋"/>
          <w:sz w:val="32"/>
          <w:szCs w:val="32"/>
        </w:rPr>
        <w:t>人民共和国合同法》的规定承担违约责任。</w:t>
      </w:r>
    </w:p>
    <w:p>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第九条 提出异议的时间和方法</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1.甲方在验收中如对服务的过程、结果、质量有异议时，应在自服务作业开始后5个工作日内向乙方提出书面异议。</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2.乙方在接到甲方书面异议后，应在2天内负责处理并函复甲方处理情况，否则，即视为默认甲方提出的异议和处理意见</w:t>
      </w:r>
      <w:r>
        <w:rPr>
          <w:rFonts w:hint="eastAsia" w:ascii="仿宋" w:hAnsi="仿宋" w:eastAsia="仿宋" w:cs="仿宋"/>
          <w:sz w:val="32"/>
          <w:szCs w:val="32"/>
          <w:lang w:eastAsia="zh-CN"/>
        </w:rPr>
        <w:t>。</w:t>
      </w:r>
    </w:p>
    <w:p>
      <w:pPr>
        <w:spacing w:line="600" w:lineRule="exact"/>
        <w:ind w:firstLine="643" w:firstLineChars="200"/>
        <w:rPr>
          <w:rFonts w:hint="eastAsia" w:eastAsia="仿宋_GB2312"/>
          <w:sz w:val="32"/>
          <w:szCs w:val="32"/>
        </w:rPr>
      </w:pPr>
      <w:r>
        <w:rPr>
          <w:rFonts w:hint="eastAsia" w:ascii="仿宋_GB2312" w:eastAsia="仿宋_GB2312"/>
          <w:b/>
          <w:sz w:val="32"/>
          <w:szCs w:val="32"/>
        </w:rPr>
        <w:t>第十条 其他</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1.本合同在履行过程中发生争议，由甲、乙方协商解决，协商不成的，可以向有管辖权的人民法院提起诉讼。</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2.本合同一式贰份，甲方、乙方双方各执壹份，经甲、乙方法定代表人签章之日起生效。</w:t>
      </w:r>
    </w:p>
    <w:p>
      <w:pPr>
        <w:pStyle w:val="38"/>
        <w:rPr>
          <w:rFonts w:hint="eastAsia" w:ascii="仿宋" w:hAnsi="仿宋" w:eastAsia="仿宋" w:cs="仿宋"/>
        </w:rPr>
      </w:pP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甲方：                       乙方： </w:t>
      </w:r>
    </w:p>
    <w:p>
      <w:pPr>
        <w:pStyle w:val="38"/>
        <w:ind w:firstLine="640"/>
        <w:rPr>
          <w:rFonts w:hint="eastAsia" w:ascii="仿宋" w:hAnsi="仿宋" w:eastAsia="仿宋" w:cs="仿宋"/>
          <w:sz w:val="32"/>
          <w:szCs w:val="32"/>
        </w:rPr>
      </w:pPr>
    </w:p>
    <w:p>
      <w:pPr>
        <w:pStyle w:val="38"/>
        <w:ind w:firstLine="640"/>
        <w:rPr>
          <w:rFonts w:hint="eastAsia" w:ascii="仿宋" w:hAnsi="仿宋" w:eastAsia="仿宋" w:cs="仿宋"/>
          <w:sz w:val="32"/>
          <w:szCs w:val="32"/>
        </w:rPr>
      </w:pPr>
    </w:p>
    <w:p>
      <w:pPr>
        <w:spacing w:line="600" w:lineRule="exact"/>
        <w:ind w:firstLine="640" w:firstLineChars="200"/>
        <w:rPr>
          <w:rFonts w:hint="eastAsia" w:ascii="仿宋" w:hAnsi="仿宋" w:eastAsia="仿宋" w:cs="仿宋"/>
          <w:sz w:val="32"/>
          <w:szCs w:val="32"/>
        </w:rPr>
      </w:pPr>
    </w:p>
    <w:p>
      <w:pPr>
        <w:spacing w:line="600" w:lineRule="exact"/>
        <w:rPr>
          <w:rFonts w:hint="eastAsia" w:ascii="仿宋" w:hAnsi="仿宋" w:eastAsia="仿宋" w:cs="仿宋"/>
          <w:sz w:val="32"/>
          <w:szCs w:val="32"/>
        </w:rPr>
      </w:pPr>
      <w:r>
        <w:rPr>
          <w:rFonts w:hint="eastAsia" w:ascii="仿宋" w:hAnsi="仿宋" w:eastAsia="仿宋" w:cs="仿宋"/>
          <w:sz w:val="32"/>
          <w:szCs w:val="32"/>
        </w:rPr>
        <w:t>授权代表（签字）：           授权代表（签字）：</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640" w:firstLineChars="200"/>
        <w:jc w:val="right"/>
        <w:rPr>
          <w:rFonts w:hint="eastAsia" w:ascii="仿宋" w:hAnsi="仿宋" w:eastAsia="仿宋" w:cs="仿宋"/>
          <w:sz w:val="32"/>
          <w:szCs w:val="32"/>
        </w:rPr>
      </w:pPr>
      <w:r>
        <w:rPr>
          <w:rFonts w:hint="eastAsia" w:ascii="仿宋" w:hAnsi="仿宋" w:eastAsia="仿宋" w:cs="仿宋"/>
          <w:sz w:val="32"/>
          <w:szCs w:val="32"/>
        </w:rPr>
        <w:t>协议签订日期：     年   月   日</w:t>
      </w:r>
    </w:p>
    <w:p>
      <w:pPr>
        <w:rPr>
          <w:rFonts w:hint="eastAsia"/>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附件2：</w:t>
      </w:r>
    </w:p>
    <w:p>
      <w:pPr>
        <w:wordWrap w:val="0"/>
        <w:spacing w:after="200" w:line="600" w:lineRule="auto"/>
        <w:jc w:val="both"/>
        <w:textAlignment w:val="baseline"/>
        <w:rPr>
          <w:rFonts w:hint="eastAsia" w:ascii="仿宋_GB2312" w:hAnsi="仿宋_GB2312" w:eastAsia="仿宋_GB2312" w:cs="仿宋_GB2312"/>
          <w:kern w:val="21"/>
          <w:sz w:val="32"/>
          <w:szCs w:val="32"/>
        </w:rPr>
      </w:pPr>
      <w:r>
        <w:rPr>
          <w:rFonts w:hint="eastAsia" w:ascii="仿宋" w:hAnsi="仿宋" w:eastAsia="仿宋" w:cs="仿宋"/>
          <w:kern w:val="21"/>
          <w:sz w:val="32"/>
          <w:szCs w:val="32"/>
        </w:rPr>
        <w:t xml:space="preserve">合同编号：    </w:t>
      </w:r>
      <w:r>
        <w:rPr>
          <w:rFonts w:hint="eastAsia" w:ascii="仿宋_GB2312" w:hAnsi="仿宋_GB2312" w:eastAsia="仿宋_GB2312" w:cs="仿宋_GB2312"/>
          <w:kern w:val="21"/>
          <w:sz w:val="32"/>
          <w:szCs w:val="32"/>
        </w:rPr>
        <w:t xml:space="preserve"> </w:t>
      </w:r>
    </w:p>
    <w:p>
      <w:pPr>
        <w:snapToGrid w:val="0"/>
        <w:spacing w:after="200" w:line="620" w:lineRule="exact"/>
        <w:jc w:val="center"/>
        <w:textAlignment w:val="baseline"/>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农业生产托管服务合同（示范文本）</w:t>
      </w:r>
    </w:p>
    <w:p>
      <w:pPr>
        <w:snapToGrid w:val="0"/>
        <w:spacing w:after="200" w:line="620" w:lineRule="exact"/>
        <w:jc w:val="center"/>
        <w:textAlignment w:val="baseline"/>
        <w:rPr>
          <w:rFonts w:ascii="方正小标宋简体" w:hAnsi="方正小标宋简体" w:eastAsia="方正小标宋简体" w:cs="方正小标宋简体"/>
          <w:kern w:val="21"/>
          <w:sz w:val="44"/>
          <w:szCs w:val="44"/>
        </w:rPr>
      </w:pPr>
    </w:p>
    <w:p>
      <w:pPr>
        <w:snapToGrid w:val="0"/>
        <w:spacing w:after="200" w:line="620" w:lineRule="exact"/>
        <w:jc w:val="center"/>
        <w:textAlignment w:val="baseline"/>
        <w:rPr>
          <w:rFonts w:ascii="方正小标宋简体" w:hAnsi="方正小标宋简体" w:eastAsia="方正小标宋简体" w:cs="方正小标宋简体"/>
          <w:kern w:val="21"/>
          <w:sz w:val="44"/>
          <w:szCs w:val="44"/>
        </w:rPr>
      </w:pPr>
    </w:p>
    <w:p>
      <w:pPr>
        <w:snapToGrid w:val="0"/>
        <w:spacing w:after="200" w:line="620" w:lineRule="exact"/>
        <w:textAlignment w:val="baseline"/>
        <w:rPr>
          <w:rFonts w:hint="eastAsia" w:ascii="仿宋_GB2312" w:hAnsi="仿宋_GB2312" w:eastAsia="仿宋_GB2312" w:cs="仿宋_GB2312"/>
          <w:kern w:val="21"/>
          <w:sz w:val="32"/>
          <w:szCs w:val="32"/>
        </w:rPr>
      </w:pPr>
    </w:p>
    <w:p>
      <w:pPr>
        <w:spacing w:after="200" w:line="600" w:lineRule="auto"/>
        <w:ind w:left="638" w:leftChars="304"/>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甲方（接受服务方）：</w:t>
      </w:r>
      <w:r>
        <w:rPr>
          <w:rFonts w:hint="eastAsia" w:ascii="仿宋_GB2312" w:hAnsi="仿宋_GB2312" w:eastAsia="仿宋_GB2312" w:cs="仿宋_GB2312"/>
          <w:kern w:val="21"/>
          <w:sz w:val="32"/>
          <w:szCs w:val="32"/>
          <w:u w:val="single" w:color="000000"/>
        </w:rPr>
        <w:t xml:space="preserve">                            </w:t>
      </w:r>
    </w:p>
    <w:p>
      <w:pPr>
        <w:spacing w:after="200" w:line="600" w:lineRule="auto"/>
        <w:ind w:left="638" w:leftChars="304"/>
        <w:textAlignment w:val="baseline"/>
        <w:rPr>
          <w:rFonts w:hint="eastAsia" w:ascii="仿宋_GB2312" w:hAnsi="仿宋_GB2312" w:eastAsia="仿宋_GB2312" w:cs="仿宋_GB2312"/>
          <w:kern w:val="21"/>
          <w:sz w:val="32"/>
          <w:szCs w:val="32"/>
          <w:u w:val="single" w:color="000000"/>
        </w:rPr>
      </w:pPr>
      <w:r>
        <w:rPr>
          <w:rFonts w:hint="eastAsia" w:ascii="仿宋_GB2312" w:hAnsi="仿宋_GB2312" w:eastAsia="仿宋_GB2312" w:cs="仿宋_GB2312"/>
          <w:kern w:val="21"/>
          <w:sz w:val="32"/>
          <w:szCs w:val="32"/>
        </w:rPr>
        <w:t>乙方（提供服务方）：</w:t>
      </w:r>
      <w:r>
        <w:rPr>
          <w:rFonts w:hint="eastAsia" w:ascii="仿宋_GB2312" w:hAnsi="仿宋_GB2312" w:eastAsia="仿宋_GB2312" w:cs="仿宋_GB2312"/>
          <w:kern w:val="21"/>
          <w:sz w:val="32"/>
          <w:szCs w:val="32"/>
          <w:u w:val="single" w:color="000000"/>
        </w:rPr>
        <w:t xml:space="preserve">                            </w:t>
      </w:r>
    </w:p>
    <w:p>
      <w:pPr>
        <w:spacing w:after="200" w:line="600" w:lineRule="auto"/>
        <w:ind w:left="638" w:leftChars="304"/>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签订时间：</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年</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月</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日</w:t>
      </w:r>
    </w:p>
    <w:p>
      <w:pPr>
        <w:spacing w:after="200"/>
        <w:textAlignment w:val="baseline"/>
        <w:rPr>
          <w:rFonts w:hint="eastAsia" w:ascii="仿宋_GB2312" w:hAnsi="仿宋_GB2312" w:eastAsia="仿宋_GB2312" w:cs="仿宋_GB2312"/>
          <w:kern w:val="21"/>
          <w:sz w:val="44"/>
          <w:szCs w:val="44"/>
        </w:rPr>
      </w:pPr>
    </w:p>
    <w:p>
      <w:pPr>
        <w:pStyle w:val="10"/>
        <w:rPr>
          <w:rFonts w:hint="eastAsia"/>
        </w:rPr>
      </w:pPr>
    </w:p>
    <w:p>
      <w:pPr>
        <w:snapToGrid w:val="0"/>
        <w:spacing w:after="200" w:line="620" w:lineRule="exact"/>
        <w:textAlignment w:val="baseline"/>
        <w:rPr>
          <w:rFonts w:hint="eastAsia" w:ascii="华文中宋" w:hAnsi="华文中宋" w:eastAsia="华文中宋" w:cs="华文中宋"/>
          <w:kern w:val="21"/>
          <w:sz w:val="36"/>
          <w:szCs w:val="36"/>
        </w:rPr>
      </w:pPr>
    </w:p>
    <w:p>
      <w:pPr>
        <w:snapToGrid w:val="0"/>
        <w:spacing w:after="200" w:line="620" w:lineRule="exact"/>
        <w:jc w:val="center"/>
        <w:textAlignment w:val="baseline"/>
        <w:rPr>
          <w:rFonts w:hint="eastAsia" w:ascii="宋体" w:hAnsi="宋体" w:cs="宋体"/>
          <w:b/>
          <w:bCs/>
          <w:kern w:val="21"/>
          <w:sz w:val="44"/>
          <w:szCs w:val="44"/>
        </w:rPr>
      </w:pPr>
    </w:p>
    <w:p>
      <w:pPr>
        <w:snapToGrid w:val="0"/>
        <w:spacing w:after="200" w:line="620" w:lineRule="exact"/>
        <w:jc w:val="center"/>
        <w:textAlignment w:val="baseline"/>
        <w:rPr>
          <w:rFonts w:hint="eastAsia" w:ascii="方正小标宋简体" w:hAnsi="方正小标宋简体" w:eastAsia="方正小标宋简体" w:cs="方正小标宋简体"/>
          <w:b w:val="0"/>
          <w:bCs w:val="0"/>
          <w:kern w:val="21"/>
          <w:sz w:val="44"/>
          <w:szCs w:val="44"/>
        </w:rPr>
      </w:pPr>
    </w:p>
    <w:p>
      <w:pPr>
        <w:snapToGrid w:val="0"/>
        <w:spacing w:after="200" w:line="620" w:lineRule="exact"/>
        <w:jc w:val="center"/>
        <w:textAlignment w:val="baseline"/>
        <w:rPr>
          <w:rFonts w:hint="eastAsia" w:ascii="方正小标宋简体" w:hAnsi="方正小标宋简体" w:eastAsia="方正小标宋简体" w:cs="方正小标宋简体"/>
          <w:b w:val="0"/>
          <w:bCs w:val="0"/>
          <w:kern w:val="21"/>
          <w:sz w:val="44"/>
          <w:szCs w:val="44"/>
        </w:rPr>
      </w:pPr>
    </w:p>
    <w:p>
      <w:pPr>
        <w:snapToGrid w:val="0"/>
        <w:spacing w:after="200" w:line="620" w:lineRule="exact"/>
        <w:jc w:val="center"/>
        <w:textAlignment w:val="baseline"/>
        <w:rPr>
          <w:rFonts w:hint="eastAsia" w:ascii="方正小标宋简体" w:hAnsi="方正小标宋简体" w:eastAsia="方正小标宋简体" w:cs="方正小标宋简体"/>
          <w:b w:val="0"/>
          <w:bCs w:val="0"/>
          <w:kern w:val="21"/>
          <w:sz w:val="44"/>
          <w:szCs w:val="44"/>
        </w:rPr>
      </w:pPr>
    </w:p>
    <w:p>
      <w:pPr>
        <w:snapToGrid w:val="0"/>
        <w:spacing w:after="200" w:line="620" w:lineRule="exact"/>
        <w:jc w:val="center"/>
        <w:textAlignment w:val="baseline"/>
        <w:rPr>
          <w:rFonts w:hint="eastAsia" w:ascii="方正小标宋简体" w:hAnsi="方正小标宋简体" w:eastAsia="方正小标宋简体" w:cs="方正小标宋简体"/>
          <w:b w:val="0"/>
          <w:bCs w:val="0"/>
          <w:kern w:val="21"/>
          <w:sz w:val="44"/>
          <w:szCs w:val="44"/>
        </w:rPr>
      </w:pPr>
    </w:p>
    <w:p>
      <w:pPr>
        <w:snapToGrid w:val="0"/>
        <w:spacing w:after="200" w:line="620" w:lineRule="exact"/>
        <w:jc w:val="center"/>
        <w:textAlignment w:val="baseline"/>
        <w:rPr>
          <w:rFonts w:hint="eastAsia" w:ascii="方正小标宋简体" w:hAnsi="方正小标宋简体" w:eastAsia="方正小标宋简体" w:cs="方正小标宋简体"/>
          <w:b w:val="0"/>
          <w:bCs w:val="0"/>
          <w:kern w:val="21"/>
          <w:sz w:val="44"/>
          <w:szCs w:val="44"/>
        </w:rPr>
      </w:pPr>
      <w:r>
        <w:rPr>
          <w:rFonts w:hint="eastAsia" w:ascii="方正小标宋简体" w:hAnsi="方正小标宋简体" w:eastAsia="方正小标宋简体" w:cs="方正小标宋简体"/>
          <w:b w:val="0"/>
          <w:bCs w:val="0"/>
          <w:kern w:val="21"/>
          <w:sz w:val="44"/>
          <w:szCs w:val="44"/>
        </w:rPr>
        <w:t>填写说明</w:t>
      </w:r>
    </w:p>
    <w:p>
      <w:pPr>
        <w:pStyle w:val="2"/>
        <w:rPr>
          <w:rFonts w:hint="eastAsia"/>
        </w:rPr>
      </w:pPr>
    </w:p>
    <w:p>
      <w:pPr>
        <w:spacing w:after="200" w:line="620" w:lineRule="exact"/>
        <w:ind w:firstLine="640" w:firstLineChars="200"/>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1.《农业生产托管服务合同示范文本》为非强制性使用文本。</w:t>
      </w:r>
    </w:p>
    <w:p>
      <w:pPr>
        <w:spacing w:after="200" w:line="620" w:lineRule="exact"/>
        <w:ind w:firstLine="640" w:firstLineChars="200"/>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2.合同当事人可结合农业生产托管服务具体情况</w:t>
      </w:r>
      <w:r>
        <w:rPr>
          <w:rFonts w:hint="eastAsia" w:ascii="仿宋" w:hAnsi="仿宋" w:eastAsia="仿宋" w:cs="仿宋"/>
          <w:kern w:val="21"/>
          <w:sz w:val="32"/>
          <w:szCs w:val="32"/>
          <w:lang w:val="en"/>
        </w:rPr>
        <w:t>，</w:t>
      </w:r>
      <w:r>
        <w:rPr>
          <w:rFonts w:hint="eastAsia" w:ascii="仿宋" w:hAnsi="仿宋" w:eastAsia="仿宋" w:cs="仿宋"/>
          <w:kern w:val="21"/>
          <w:sz w:val="32"/>
          <w:szCs w:val="32"/>
        </w:rPr>
        <w:t>根据《农业生产托管服务合同示范文本》订立合同</w:t>
      </w:r>
      <w:r>
        <w:rPr>
          <w:rFonts w:hint="eastAsia" w:ascii="仿宋" w:hAnsi="仿宋" w:eastAsia="仿宋" w:cs="仿宋"/>
          <w:kern w:val="21"/>
          <w:sz w:val="32"/>
          <w:szCs w:val="32"/>
          <w:lang w:val="en"/>
        </w:rPr>
        <w:t>，</w:t>
      </w:r>
      <w:r>
        <w:rPr>
          <w:rFonts w:hint="eastAsia" w:ascii="仿宋" w:hAnsi="仿宋" w:eastAsia="仿宋" w:cs="仿宋"/>
          <w:kern w:val="21"/>
          <w:sz w:val="32"/>
          <w:szCs w:val="32"/>
        </w:rPr>
        <w:t>并按照法律法规规定和合同约定承担相应的法律责任及合同权利。</w:t>
      </w:r>
    </w:p>
    <w:p>
      <w:pPr>
        <w:spacing w:after="200" w:line="600" w:lineRule="exact"/>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甲方（接受服务方）：</w:t>
      </w:r>
      <w:r>
        <w:rPr>
          <w:rFonts w:hint="eastAsia" w:ascii="仿宋" w:hAnsi="仿宋" w:eastAsia="仿宋" w:cs="仿宋"/>
          <w:kern w:val="21"/>
          <w:sz w:val="32"/>
          <w:szCs w:val="32"/>
          <w:u w:val="single" w:color="000000"/>
        </w:rPr>
        <w:t xml:space="preserve">                                  </w:t>
      </w:r>
    </w:p>
    <w:p>
      <w:pPr>
        <w:snapToGrid w:val="0"/>
        <w:spacing w:line="600" w:lineRule="exact"/>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法定代表人及身份证号：</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 xml:space="preserve"> </w:t>
      </w:r>
    </w:p>
    <w:p>
      <w:pPr>
        <w:snapToGrid w:val="0"/>
        <w:spacing w:line="600" w:lineRule="exact"/>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地址：</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 xml:space="preserve">    </w:t>
      </w:r>
    </w:p>
    <w:p>
      <w:pPr>
        <w:snapToGrid w:val="0"/>
        <w:spacing w:line="600" w:lineRule="exact"/>
        <w:textAlignment w:val="baseline"/>
        <w:rPr>
          <w:rFonts w:hint="eastAsia" w:ascii="仿宋" w:hAnsi="仿宋" w:eastAsia="仿宋" w:cs="仿宋"/>
          <w:kern w:val="21"/>
          <w:sz w:val="32"/>
          <w:szCs w:val="32"/>
          <w:u w:val="single"/>
        </w:rPr>
      </w:pPr>
      <w:r>
        <w:rPr>
          <w:rFonts w:hint="eastAsia" w:ascii="仿宋" w:hAnsi="仿宋" w:eastAsia="仿宋" w:cs="仿宋"/>
          <w:kern w:val="21"/>
          <w:sz w:val="32"/>
          <w:szCs w:val="32"/>
        </w:rPr>
        <w:t>联系方式：</w:t>
      </w:r>
      <w:r>
        <w:rPr>
          <w:rFonts w:hint="eastAsia" w:ascii="仿宋" w:hAnsi="仿宋" w:eastAsia="仿宋" w:cs="仿宋"/>
          <w:kern w:val="21"/>
          <w:sz w:val="32"/>
          <w:szCs w:val="32"/>
          <w:u w:val="single" w:color="000000"/>
        </w:rPr>
        <w:t xml:space="preserve">                                          </w:t>
      </w:r>
    </w:p>
    <w:p>
      <w:pPr>
        <w:snapToGrid w:val="0"/>
        <w:spacing w:line="600" w:lineRule="exact"/>
        <w:textAlignment w:val="baseline"/>
        <w:rPr>
          <w:rFonts w:hint="eastAsia" w:ascii="仿宋" w:hAnsi="仿宋" w:eastAsia="仿宋" w:cs="仿宋"/>
          <w:kern w:val="21"/>
          <w:sz w:val="32"/>
          <w:szCs w:val="32"/>
          <w:u w:val="single"/>
        </w:rPr>
      </w:pPr>
    </w:p>
    <w:p>
      <w:pPr>
        <w:snapToGrid w:val="0"/>
        <w:spacing w:line="600" w:lineRule="exact"/>
        <w:textAlignment w:val="baseline"/>
        <w:rPr>
          <w:rFonts w:hint="eastAsia" w:ascii="仿宋" w:hAnsi="仿宋" w:eastAsia="仿宋" w:cs="仿宋"/>
          <w:kern w:val="21"/>
          <w:sz w:val="32"/>
          <w:szCs w:val="32"/>
          <w:u w:val="single"/>
        </w:rPr>
      </w:pPr>
      <w:r>
        <w:rPr>
          <w:rFonts w:hint="eastAsia" w:ascii="仿宋" w:hAnsi="仿宋" w:eastAsia="仿宋" w:cs="仿宋"/>
          <w:kern w:val="21"/>
          <w:sz w:val="32"/>
          <w:szCs w:val="32"/>
        </w:rPr>
        <w:t>乙方（提供服务方）：</w:t>
      </w:r>
      <w:r>
        <w:rPr>
          <w:rFonts w:hint="eastAsia" w:ascii="仿宋" w:hAnsi="仿宋" w:eastAsia="仿宋" w:cs="仿宋"/>
          <w:kern w:val="21"/>
          <w:sz w:val="32"/>
          <w:szCs w:val="32"/>
          <w:u w:val="single" w:color="000000"/>
        </w:rPr>
        <w:t xml:space="preserve">                                  </w:t>
      </w:r>
    </w:p>
    <w:p>
      <w:pPr>
        <w:snapToGrid w:val="0"/>
        <w:spacing w:line="600" w:lineRule="exact"/>
        <w:textAlignment w:val="baseline"/>
        <w:rPr>
          <w:rFonts w:hint="eastAsia" w:ascii="仿宋" w:hAnsi="仿宋" w:eastAsia="仿宋" w:cs="仿宋"/>
          <w:kern w:val="21"/>
          <w:sz w:val="32"/>
          <w:szCs w:val="32"/>
          <w:u w:val="single"/>
        </w:rPr>
      </w:pPr>
      <w:r>
        <w:rPr>
          <w:rFonts w:hint="eastAsia" w:ascii="仿宋" w:hAnsi="仿宋" w:eastAsia="仿宋" w:cs="仿宋"/>
          <w:kern w:val="21"/>
          <w:sz w:val="32"/>
          <w:szCs w:val="32"/>
        </w:rPr>
        <w:t>法定代表人及身份证号：</w:t>
      </w:r>
      <w:r>
        <w:rPr>
          <w:rFonts w:hint="eastAsia" w:ascii="仿宋" w:hAnsi="仿宋" w:eastAsia="仿宋" w:cs="仿宋"/>
          <w:kern w:val="21"/>
          <w:sz w:val="32"/>
          <w:szCs w:val="32"/>
          <w:u w:val="single" w:color="000000"/>
        </w:rPr>
        <w:t xml:space="preserve">                                 </w:t>
      </w:r>
    </w:p>
    <w:p>
      <w:pPr>
        <w:snapToGrid w:val="0"/>
        <w:spacing w:line="600" w:lineRule="exact"/>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地址：</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 xml:space="preserve">    </w:t>
      </w:r>
    </w:p>
    <w:p>
      <w:pPr>
        <w:snapToGrid w:val="0"/>
        <w:spacing w:line="600" w:lineRule="exact"/>
        <w:textAlignment w:val="baseline"/>
        <w:rPr>
          <w:rFonts w:hint="eastAsia" w:ascii="仿宋" w:hAnsi="仿宋" w:eastAsia="仿宋" w:cs="仿宋"/>
          <w:kern w:val="21"/>
          <w:sz w:val="32"/>
          <w:szCs w:val="32"/>
          <w:u w:val="single"/>
        </w:rPr>
      </w:pPr>
      <w:r>
        <w:rPr>
          <w:rFonts w:hint="eastAsia" w:ascii="仿宋" w:hAnsi="仿宋" w:eastAsia="仿宋" w:cs="仿宋"/>
          <w:kern w:val="21"/>
          <w:sz w:val="32"/>
          <w:szCs w:val="32"/>
        </w:rPr>
        <w:t>联系方式：</w:t>
      </w:r>
      <w:r>
        <w:rPr>
          <w:rFonts w:hint="eastAsia" w:ascii="仿宋" w:hAnsi="仿宋" w:eastAsia="仿宋" w:cs="仿宋"/>
          <w:kern w:val="21"/>
          <w:sz w:val="32"/>
          <w:szCs w:val="32"/>
          <w:u w:val="single" w:color="000000"/>
        </w:rPr>
        <w:t xml:space="preserve">                                          </w:t>
      </w:r>
    </w:p>
    <w:p>
      <w:pPr>
        <w:snapToGrid w:val="0"/>
        <w:spacing w:line="600" w:lineRule="exact"/>
        <w:textAlignment w:val="baseline"/>
        <w:rPr>
          <w:rFonts w:hint="eastAsia" w:ascii="仿宋_GB2312" w:hAnsi="仿宋_GB2312" w:eastAsia="仿宋_GB2312" w:cs="仿宋_GB2312"/>
          <w:kern w:val="21"/>
          <w:sz w:val="32"/>
          <w:szCs w:val="32"/>
          <w:u w:val="single"/>
        </w:rPr>
      </w:pPr>
    </w:p>
    <w:p>
      <w:pPr>
        <w:snapToGrid w:val="0"/>
        <w:spacing w:line="600" w:lineRule="exact"/>
        <w:ind w:firstLine="640" w:firstLineChars="200"/>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根据有关法律法规及政策规定</w:t>
      </w:r>
      <w:r>
        <w:rPr>
          <w:rFonts w:hint="eastAsia" w:ascii="仿宋" w:hAnsi="仿宋" w:eastAsia="仿宋" w:cs="仿宋"/>
          <w:kern w:val="21"/>
          <w:sz w:val="32"/>
          <w:szCs w:val="32"/>
          <w:lang w:val="en"/>
        </w:rPr>
        <w:t>，</w:t>
      </w:r>
      <w:r>
        <w:rPr>
          <w:rFonts w:hint="eastAsia" w:ascii="仿宋" w:hAnsi="仿宋" w:eastAsia="仿宋" w:cs="仿宋"/>
          <w:kern w:val="21"/>
          <w:sz w:val="32"/>
          <w:szCs w:val="32"/>
        </w:rPr>
        <w:t>甲乙双方本着平等、自愿、有偿的原则</w:t>
      </w:r>
      <w:r>
        <w:rPr>
          <w:rFonts w:hint="eastAsia" w:ascii="仿宋" w:hAnsi="仿宋" w:eastAsia="仿宋" w:cs="仿宋"/>
          <w:kern w:val="21"/>
          <w:sz w:val="32"/>
          <w:szCs w:val="32"/>
          <w:lang w:val="en"/>
        </w:rPr>
        <w:t>，</w:t>
      </w:r>
      <w:r>
        <w:rPr>
          <w:rFonts w:hint="eastAsia" w:ascii="仿宋" w:hAnsi="仿宋" w:eastAsia="仿宋" w:cs="仿宋"/>
          <w:kern w:val="21"/>
          <w:sz w:val="32"/>
          <w:szCs w:val="32"/>
        </w:rPr>
        <w:t>就农业生产托管服务有关事项协商一致</w:t>
      </w:r>
      <w:r>
        <w:rPr>
          <w:rFonts w:hint="eastAsia" w:ascii="仿宋" w:hAnsi="仿宋" w:eastAsia="仿宋" w:cs="仿宋"/>
          <w:kern w:val="21"/>
          <w:sz w:val="32"/>
          <w:szCs w:val="32"/>
          <w:lang w:val="en"/>
        </w:rPr>
        <w:t>，</w:t>
      </w:r>
      <w:r>
        <w:rPr>
          <w:rFonts w:hint="eastAsia" w:ascii="仿宋" w:hAnsi="仿宋" w:eastAsia="仿宋" w:cs="仿宋"/>
          <w:kern w:val="21"/>
          <w:sz w:val="32"/>
          <w:szCs w:val="32"/>
        </w:rPr>
        <w:t>订立本合同。</w:t>
      </w:r>
    </w:p>
    <w:p>
      <w:pPr>
        <w:numPr>
          <w:ilvl w:val="0"/>
          <w:numId w:val="0"/>
        </w:numPr>
        <w:snapToGrid w:val="0"/>
        <w:spacing w:line="600" w:lineRule="exact"/>
        <w:textAlignment w:val="baseline"/>
        <w:rPr>
          <w:rFonts w:hint="eastAsia" w:ascii="黑体" w:hAnsi="黑体" w:eastAsia="黑体" w:cs="黑体"/>
          <w:kern w:val="21"/>
          <w:sz w:val="32"/>
          <w:szCs w:val="32"/>
        </w:rPr>
      </w:pPr>
    </w:p>
    <w:p>
      <w:pPr>
        <w:numPr>
          <w:ilvl w:val="0"/>
          <w:numId w:val="1"/>
        </w:numPr>
        <w:snapToGrid w:val="0"/>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服务内容</w:t>
      </w:r>
    </w:p>
    <w:p>
      <w:pPr>
        <w:widowControl/>
        <w:spacing w:line="600" w:lineRule="exact"/>
        <w:ind w:firstLine="640" w:firstLineChars="200"/>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甲方将</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县（市、区）</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乡（镇、街道）</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村（社区）</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村民小组（居民小组）的</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亩</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（作物</w:t>
      </w:r>
      <w:r>
        <w:rPr>
          <w:rFonts w:hint="eastAsia" w:ascii="仿宋" w:hAnsi="仿宋" w:eastAsia="仿宋" w:cs="仿宋"/>
          <w:kern w:val="21"/>
          <w:sz w:val="32"/>
          <w:szCs w:val="32"/>
          <w:lang w:val="en"/>
        </w:rPr>
        <w:t>，</w:t>
      </w:r>
      <w:r>
        <w:rPr>
          <w:rFonts w:hint="eastAsia" w:ascii="仿宋" w:hAnsi="仿宋" w:eastAsia="仿宋" w:cs="仿宋"/>
          <w:kern w:val="21"/>
          <w:sz w:val="32"/>
          <w:szCs w:val="32"/>
        </w:rPr>
        <w:t>如：水稻、油菜等）的</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（如：生产资料供应、耕种防收等农机作业、烘干仓储或全程种植技术解决方案）委托给乙方开展生产托管服务。（甲方如托管两个地块以上作物的</w:t>
      </w:r>
      <w:r>
        <w:rPr>
          <w:rFonts w:hint="eastAsia" w:ascii="仿宋" w:hAnsi="仿宋" w:eastAsia="仿宋" w:cs="仿宋"/>
          <w:kern w:val="21"/>
          <w:sz w:val="32"/>
          <w:szCs w:val="32"/>
          <w:lang w:val="en"/>
        </w:rPr>
        <w:t>，</w:t>
      </w:r>
      <w:r>
        <w:rPr>
          <w:rFonts w:hint="eastAsia" w:ascii="仿宋" w:hAnsi="仿宋" w:eastAsia="仿宋" w:cs="仿宋"/>
          <w:kern w:val="21"/>
          <w:sz w:val="32"/>
          <w:szCs w:val="32"/>
        </w:rPr>
        <w:t>可按本款格式补充。）</w:t>
      </w:r>
    </w:p>
    <w:p>
      <w:pPr>
        <w:numPr>
          <w:ilvl w:val="0"/>
          <w:numId w:val="1"/>
        </w:numPr>
        <w:snapToGrid w:val="0"/>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服务标准</w:t>
      </w:r>
    </w:p>
    <w:p>
      <w:pPr>
        <w:widowControl/>
        <w:spacing w:line="600" w:lineRule="exact"/>
        <w:ind w:firstLine="640" w:firstLineChars="200"/>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甲乙双方就服务的技术标准、质量标准等协商达成约定</w:t>
      </w:r>
      <w:r>
        <w:rPr>
          <w:rFonts w:hint="eastAsia" w:ascii="仿宋" w:hAnsi="仿宋" w:eastAsia="仿宋" w:cs="仿宋"/>
          <w:kern w:val="21"/>
          <w:sz w:val="32"/>
          <w:szCs w:val="32"/>
          <w:lang w:val="en"/>
        </w:rPr>
        <w:t>，</w:t>
      </w:r>
      <w:r>
        <w:rPr>
          <w:rFonts w:hint="eastAsia" w:ascii="仿宋" w:hAnsi="仿宋" w:eastAsia="仿宋" w:cs="仿宋"/>
          <w:kern w:val="21"/>
          <w:sz w:val="32"/>
          <w:szCs w:val="32"/>
        </w:rPr>
        <w:t>作为本合同附件</w:t>
      </w:r>
      <w:r>
        <w:rPr>
          <w:rFonts w:hint="eastAsia" w:ascii="仿宋" w:hAnsi="仿宋" w:eastAsia="仿宋" w:cs="仿宋"/>
          <w:kern w:val="21"/>
          <w:sz w:val="32"/>
          <w:szCs w:val="32"/>
          <w:lang w:val="en"/>
        </w:rPr>
        <w:t>，</w:t>
      </w:r>
      <w:r>
        <w:rPr>
          <w:rFonts w:hint="eastAsia" w:ascii="仿宋" w:hAnsi="仿宋" w:eastAsia="仿宋" w:cs="仿宋"/>
          <w:kern w:val="21"/>
          <w:sz w:val="32"/>
          <w:szCs w:val="32"/>
        </w:rPr>
        <w:t>与本合同具有同等法律效力。【甲乙双方可参照《农业生产托管服务标准指引》（附后）</w:t>
      </w:r>
      <w:r>
        <w:rPr>
          <w:rFonts w:hint="eastAsia" w:ascii="仿宋" w:hAnsi="仿宋" w:eastAsia="仿宋" w:cs="仿宋"/>
          <w:kern w:val="21"/>
          <w:sz w:val="32"/>
          <w:szCs w:val="32"/>
          <w:lang w:val="en"/>
        </w:rPr>
        <w:t>，</w:t>
      </w:r>
      <w:r>
        <w:rPr>
          <w:rFonts w:hint="eastAsia" w:ascii="仿宋" w:hAnsi="仿宋" w:eastAsia="仿宋" w:cs="仿宋"/>
          <w:kern w:val="21"/>
          <w:sz w:val="32"/>
          <w:szCs w:val="32"/>
        </w:rPr>
        <w:t>就服务事项协商约定相关标准并附于本合同之后。】</w:t>
      </w:r>
    </w:p>
    <w:p>
      <w:pPr>
        <w:numPr>
          <w:ilvl w:val="0"/>
          <w:numId w:val="1"/>
        </w:numPr>
        <w:snapToGrid w:val="0"/>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服务期限</w:t>
      </w:r>
    </w:p>
    <w:p>
      <w:pPr>
        <w:spacing w:line="600" w:lineRule="exact"/>
        <w:ind w:firstLine="640" w:firstLineChars="200"/>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乙方根据农时需要和生产技术要求</w:t>
      </w:r>
      <w:r>
        <w:rPr>
          <w:rFonts w:hint="eastAsia" w:ascii="仿宋" w:hAnsi="仿宋" w:eastAsia="仿宋" w:cs="仿宋"/>
          <w:kern w:val="21"/>
          <w:sz w:val="32"/>
          <w:szCs w:val="32"/>
          <w:lang w:val="en"/>
        </w:rPr>
        <w:t>，</w:t>
      </w:r>
      <w:r>
        <w:rPr>
          <w:rFonts w:hint="eastAsia" w:ascii="仿宋" w:hAnsi="仿宋" w:eastAsia="仿宋" w:cs="仿宋"/>
          <w:kern w:val="21"/>
          <w:sz w:val="32"/>
          <w:szCs w:val="32"/>
        </w:rPr>
        <w:t>在</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年</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月</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日至</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年</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 xml:space="preserve">月 </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期间完成甲方委托的</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作物</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环节的生产托管服务。（如乙方提供的生产托管服务需在不同时间内进行</w:t>
      </w:r>
      <w:r>
        <w:rPr>
          <w:rFonts w:hint="eastAsia" w:ascii="仿宋" w:hAnsi="仿宋" w:eastAsia="仿宋" w:cs="仿宋"/>
          <w:kern w:val="21"/>
          <w:sz w:val="32"/>
          <w:szCs w:val="32"/>
          <w:lang w:val="en"/>
        </w:rPr>
        <w:t>，</w:t>
      </w:r>
      <w:r>
        <w:rPr>
          <w:rFonts w:hint="eastAsia" w:ascii="仿宋" w:hAnsi="仿宋" w:eastAsia="仿宋" w:cs="仿宋"/>
          <w:kern w:val="21"/>
          <w:sz w:val="32"/>
          <w:szCs w:val="32"/>
        </w:rPr>
        <w:t>甲乙双方可根据实际情况分项约定具体服务时间。）</w:t>
      </w:r>
    </w:p>
    <w:p>
      <w:pPr>
        <w:numPr>
          <w:ilvl w:val="0"/>
          <w:numId w:val="1"/>
        </w:numPr>
        <w:snapToGrid w:val="0"/>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服务费用</w:t>
      </w:r>
    </w:p>
    <w:p>
      <w:pPr>
        <w:spacing w:line="600" w:lineRule="exact"/>
        <w:ind w:firstLine="640" w:firstLineChars="200"/>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乙方为甲方提供的生产托管服务价格为人民币</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元/亩</w:t>
      </w:r>
      <w:r>
        <w:rPr>
          <w:rFonts w:hint="eastAsia" w:ascii="仿宋" w:hAnsi="仿宋" w:eastAsia="仿宋" w:cs="仿宋"/>
          <w:kern w:val="21"/>
          <w:sz w:val="32"/>
          <w:szCs w:val="32"/>
          <w:lang w:val="en"/>
        </w:rPr>
        <w:t>，</w:t>
      </w:r>
      <w:r>
        <w:rPr>
          <w:rFonts w:hint="eastAsia" w:ascii="仿宋" w:hAnsi="仿宋" w:eastAsia="仿宋" w:cs="仿宋"/>
          <w:kern w:val="21"/>
          <w:sz w:val="32"/>
          <w:szCs w:val="32"/>
        </w:rPr>
        <w:t>服务面积</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亩</w:t>
      </w:r>
      <w:r>
        <w:rPr>
          <w:rFonts w:hint="eastAsia" w:ascii="仿宋" w:hAnsi="仿宋" w:eastAsia="仿宋" w:cs="仿宋"/>
          <w:kern w:val="21"/>
          <w:sz w:val="32"/>
          <w:szCs w:val="32"/>
          <w:lang w:val="en"/>
        </w:rPr>
        <w:t>，</w:t>
      </w:r>
      <w:r>
        <w:rPr>
          <w:rFonts w:hint="eastAsia" w:ascii="仿宋" w:hAnsi="仿宋" w:eastAsia="仿宋" w:cs="仿宋"/>
          <w:kern w:val="21"/>
          <w:sz w:val="32"/>
          <w:szCs w:val="32"/>
        </w:rPr>
        <w:t>总费用人民币</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元（大写：</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）。（如乙方提供的服务无法按照上述方式计算服务费用</w:t>
      </w:r>
      <w:r>
        <w:rPr>
          <w:rFonts w:hint="eastAsia" w:ascii="仿宋" w:hAnsi="仿宋" w:eastAsia="仿宋" w:cs="仿宋"/>
          <w:kern w:val="21"/>
          <w:sz w:val="32"/>
          <w:szCs w:val="32"/>
          <w:lang w:val="en"/>
        </w:rPr>
        <w:t>，</w:t>
      </w:r>
      <w:r>
        <w:rPr>
          <w:rFonts w:hint="eastAsia" w:ascii="仿宋" w:hAnsi="仿宋" w:eastAsia="仿宋" w:cs="仿宋"/>
          <w:kern w:val="21"/>
          <w:sz w:val="32"/>
          <w:szCs w:val="32"/>
        </w:rPr>
        <w:t>甲乙双方可根据实际服务过程中的具体情况协商约定服务费用。）</w:t>
      </w:r>
    </w:p>
    <w:p>
      <w:pPr>
        <w:numPr>
          <w:ilvl w:val="0"/>
          <w:numId w:val="1"/>
        </w:numPr>
        <w:snapToGrid w:val="0"/>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支付方式</w:t>
      </w:r>
    </w:p>
    <w:p>
      <w:pPr>
        <w:spacing w:line="600" w:lineRule="exact"/>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 xml:space="preserve">    甲方于本合同签订当日</w:t>
      </w:r>
      <w:r>
        <w:rPr>
          <w:rFonts w:hint="eastAsia" w:ascii="仿宋" w:hAnsi="仿宋" w:eastAsia="仿宋" w:cs="仿宋"/>
          <w:kern w:val="21"/>
          <w:sz w:val="32"/>
          <w:szCs w:val="32"/>
          <w:lang w:val="en"/>
        </w:rPr>
        <w:t>，</w:t>
      </w:r>
      <w:r>
        <w:rPr>
          <w:rFonts w:hint="eastAsia" w:ascii="仿宋" w:hAnsi="仿宋" w:eastAsia="仿宋" w:cs="仿宋"/>
          <w:kern w:val="21"/>
          <w:sz w:val="32"/>
          <w:szCs w:val="32"/>
        </w:rPr>
        <w:t>支付乙方服务费用总额的百分之</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（小写：</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%）计人民币</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元（大写：</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）作为订金。乙方所有服务完毕并经甲方验收合格后</w:t>
      </w:r>
      <w:r>
        <w:rPr>
          <w:rFonts w:hint="eastAsia" w:ascii="仿宋" w:hAnsi="仿宋" w:eastAsia="仿宋" w:cs="仿宋"/>
          <w:kern w:val="21"/>
          <w:sz w:val="32"/>
          <w:szCs w:val="32"/>
          <w:lang w:val="en"/>
        </w:rPr>
        <w:t>，</w:t>
      </w:r>
      <w:r>
        <w:rPr>
          <w:rFonts w:hint="eastAsia" w:ascii="仿宋" w:hAnsi="仿宋" w:eastAsia="仿宋" w:cs="仿宋"/>
          <w:kern w:val="21"/>
          <w:sz w:val="32"/>
          <w:szCs w:val="32"/>
        </w:rPr>
        <w:t>甲方于</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日内支付乙方剩余服务费用人民币</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元（大写：</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）。（甲乙双方可约定签订合同之日支付全部服务费用</w:t>
      </w:r>
      <w:r>
        <w:rPr>
          <w:rFonts w:hint="eastAsia" w:ascii="仿宋" w:hAnsi="仿宋" w:eastAsia="仿宋" w:cs="仿宋"/>
          <w:kern w:val="21"/>
          <w:sz w:val="32"/>
          <w:szCs w:val="32"/>
          <w:lang w:val="en"/>
        </w:rPr>
        <w:t>，</w:t>
      </w:r>
      <w:r>
        <w:rPr>
          <w:rFonts w:hint="eastAsia" w:ascii="仿宋" w:hAnsi="仿宋" w:eastAsia="仿宋" w:cs="仿宋"/>
          <w:kern w:val="21"/>
          <w:sz w:val="32"/>
          <w:szCs w:val="32"/>
        </w:rPr>
        <w:t>或约定完成生产托管服务后一次性支付全部服务费用</w:t>
      </w:r>
      <w:r>
        <w:rPr>
          <w:rFonts w:hint="eastAsia" w:ascii="仿宋" w:hAnsi="仿宋" w:eastAsia="仿宋" w:cs="仿宋"/>
          <w:kern w:val="21"/>
          <w:sz w:val="32"/>
          <w:szCs w:val="32"/>
          <w:lang w:val="en"/>
        </w:rPr>
        <w:t>，</w:t>
      </w:r>
      <w:r>
        <w:rPr>
          <w:rFonts w:hint="eastAsia" w:ascii="仿宋" w:hAnsi="仿宋" w:eastAsia="仿宋" w:cs="仿宋"/>
          <w:kern w:val="21"/>
          <w:sz w:val="32"/>
          <w:szCs w:val="32"/>
        </w:rPr>
        <w:t>或约定从甲方委托乙方销售农业收益中扣除服务费用。）</w:t>
      </w:r>
    </w:p>
    <w:p>
      <w:pPr>
        <w:numPr>
          <w:ilvl w:val="0"/>
          <w:numId w:val="1"/>
        </w:numPr>
        <w:snapToGrid w:val="0"/>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甲乙双方的权利和义务</w:t>
      </w:r>
    </w:p>
    <w:p>
      <w:pPr>
        <w:spacing w:line="600" w:lineRule="exact"/>
        <w:textAlignment w:val="baseline"/>
        <w:rPr>
          <w:rFonts w:hint="eastAsia" w:ascii="楷体" w:hAnsi="楷体" w:eastAsia="楷体" w:cs="楷体"/>
          <w:b/>
          <w:kern w:val="21"/>
          <w:sz w:val="32"/>
          <w:szCs w:val="32"/>
        </w:rPr>
      </w:pPr>
      <w:r>
        <w:rPr>
          <w:rFonts w:hint="eastAsia" w:ascii="楷体" w:hAnsi="楷体" w:eastAsia="楷体" w:cs="楷体"/>
          <w:b/>
          <w:kern w:val="21"/>
          <w:sz w:val="32"/>
          <w:szCs w:val="32"/>
        </w:rPr>
        <w:t xml:space="preserve">   （一）甲方的权利和义务</w:t>
      </w:r>
    </w:p>
    <w:p>
      <w:pPr>
        <w:spacing w:line="600" w:lineRule="exact"/>
        <w:ind w:firstLine="640" w:firstLineChars="200"/>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1.托管服务期间始终享有对托管地块的承包经营权</w:t>
      </w:r>
      <w:r>
        <w:rPr>
          <w:rFonts w:hint="eastAsia" w:ascii="仿宋" w:hAnsi="仿宋" w:eastAsia="仿宋" w:cs="仿宋"/>
          <w:kern w:val="21"/>
          <w:sz w:val="32"/>
          <w:szCs w:val="32"/>
          <w:lang w:val="en"/>
        </w:rPr>
        <w:t>，</w:t>
      </w:r>
      <w:r>
        <w:rPr>
          <w:rFonts w:hint="eastAsia" w:ascii="仿宋" w:hAnsi="仿宋" w:eastAsia="仿宋" w:cs="仿宋"/>
          <w:kern w:val="21"/>
          <w:sz w:val="32"/>
          <w:szCs w:val="32"/>
        </w:rPr>
        <w:t>托管地块产出品归甲方所有。</w:t>
      </w:r>
    </w:p>
    <w:p>
      <w:pPr>
        <w:spacing w:line="600" w:lineRule="exact"/>
        <w:ind w:firstLine="640"/>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2.按照合同约定接受乙方提供的生产托管服务</w:t>
      </w:r>
      <w:r>
        <w:rPr>
          <w:rFonts w:hint="eastAsia" w:ascii="仿宋" w:hAnsi="仿宋" w:eastAsia="仿宋" w:cs="仿宋"/>
          <w:kern w:val="21"/>
          <w:sz w:val="32"/>
          <w:szCs w:val="32"/>
          <w:lang w:val="en"/>
        </w:rPr>
        <w:t>，</w:t>
      </w:r>
      <w:r>
        <w:rPr>
          <w:rFonts w:hint="eastAsia" w:ascii="仿宋" w:hAnsi="仿宋" w:eastAsia="仿宋" w:cs="仿宋"/>
          <w:kern w:val="21"/>
          <w:sz w:val="32"/>
          <w:szCs w:val="32"/>
        </w:rPr>
        <w:t>要求乙方按照《农业生产托管服务标准指引》约定标准开展服务。对乙方服务进行监督和评价</w:t>
      </w:r>
      <w:r>
        <w:rPr>
          <w:rFonts w:hint="eastAsia" w:ascii="仿宋" w:hAnsi="仿宋" w:eastAsia="仿宋" w:cs="仿宋"/>
          <w:kern w:val="21"/>
          <w:sz w:val="32"/>
          <w:szCs w:val="32"/>
          <w:lang w:val="en"/>
        </w:rPr>
        <w:t>，</w:t>
      </w:r>
      <w:r>
        <w:rPr>
          <w:rFonts w:hint="eastAsia" w:ascii="仿宋" w:hAnsi="仿宋" w:eastAsia="仿宋" w:cs="仿宋"/>
          <w:kern w:val="21"/>
          <w:sz w:val="32"/>
          <w:szCs w:val="32"/>
        </w:rPr>
        <w:t>验收服务成果。</w:t>
      </w:r>
    </w:p>
    <w:p>
      <w:pPr>
        <w:spacing w:line="600" w:lineRule="exact"/>
        <w:ind w:firstLine="640" w:firstLineChars="200"/>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3.有权阻止乙方实施破坏农用地和其他农业资源的行为。若因乙方故意或过失破坏托管地块种植条件、给土地造成严重损害或者严重破坏土地生态环境的</w:t>
      </w:r>
      <w:r>
        <w:rPr>
          <w:rFonts w:hint="eastAsia" w:ascii="仿宋" w:hAnsi="仿宋" w:eastAsia="仿宋" w:cs="仿宋"/>
          <w:kern w:val="21"/>
          <w:sz w:val="32"/>
          <w:szCs w:val="32"/>
          <w:lang w:val="en"/>
        </w:rPr>
        <w:t>，</w:t>
      </w:r>
      <w:r>
        <w:rPr>
          <w:rFonts w:hint="eastAsia" w:ascii="仿宋" w:hAnsi="仿宋" w:eastAsia="仿宋" w:cs="仿宋"/>
          <w:kern w:val="21"/>
          <w:sz w:val="32"/>
          <w:szCs w:val="32"/>
        </w:rPr>
        <w:t>有权要求乙方赔偿由此造成的损失。</w:t>
      </w:r>
    </w:p>
    <w:p>
      <w:pPr>
        <w:spacing w:line="600" w:lineRule="exact"/>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 xml:space="preserve">    4.为乙方开展生产托管服务提供必要条件。（甲乙双方可根据实际情况约定甲方应提供必要条件的具体内容和时间。）</w:t>
      </w:r>
    </w:p>
    <w:p>
      <w:pPr>
        <w:spacing w:line="600" w:lineRule="exact"/>
        <w:ind w:firstLine="640" w:firstLineChars="200"/>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5.法律、法规、规章和政策所规定的其他权利和义务。</w:t>
      </w:r>
    </w:p>
    <w:p>
      <w:pPr>
        <w:spacing w:line="600" w:lineRule="exact"/>
        <w:textAlignment w:val="baseline"/>
        <w:rPr>
          <w:rFonts w:hint="eastAsia" w:ascii="楷体" w:hAnsi="楷体" w:eastAsia="楷体" w:cs="楷体"/>
          <w:b/>
          <w:kern w:val="21"/>
          <w:sz w:val="32"/>
          <w:szCs w:val="32"/>
        </w:rPr>
      </w:pPr>
      <w:r>
        <w:rPr>
          <w:rFonts w:hint="eastAsia" w:ascii="楷体" w:hAnsi="楷体" w:eastAsia="楷体" w:cs="楷体"/>
          <w:b/>
          <w:kern w:val="21"/>
          <w:sz w:val="32"/>
          <w:szCs w:val="32"/>
        </w:rPr>
        <w:t xml:space="preserve">    （二）乙方的权利和义务</w:t>
      </w:r>
    </w:p>
    <w:p>
      <w:pPr>
        <w:spacing w:line="600" w:lineRule="exact"/>
        <w:ind w:firstLine="640" w:firstLineChars="200"/>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1.要求甲方在约定时间内提供必要的作业条件</w:t>
      </w:r>
      <w:r>
        <w:rPr>
          <w:rFonts w:hint="eastAsia" w:ascii="仿宋" w:hAnsi="仿宋" w:eastAsia="仿宋" w:cs="仿宋"/>
          <w:kern w:val="21"/>
          <w:sz w:val="32"/>
          <w:szCs w:val="32"/>
          <w:lang w:val="en"/>
        </w:rPr>
        <w:t>，</w:t>
      </w:r>
      <w:r>
        <w:rPr>
          <w:rFonts w:hint="eastAsia" w:ascii="仿宋" w:hAnsi="仿宋" w:eastAsia="仿宋" w:cs="仿宋"/>
          <w:kern w:val="21"/>
          <w:sz w:val="32"/>
          <w:szCs w:val="32"/>
        </w:rPr>
        <w:t>并对服务结果进行验收。</w:t>
      </w:r>
    </w:p>
    <w:p>
      <w:pPr>
        <w:spacing w:line="600" w:lineRule="exact"/>
        <w:ind w:firstLine="640" w:firstLineChars="200"/>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2.按照合同约定为甲方提供符合《农业生产托管服务标准指引》要求的生产托管服务</w:t>
      </w:r>
      <w:r>
        <w:rPr>
          <w:rFonts w:hint="eastAsia" w:ascii="仿宋" w:hAnsi="仿宋" w:eastAsia="仿宋" w:cs="仿宋"/>
          <w:kern w:val="21"/>
          <w:sz w:val="32"/>
          <w:szCs w:val="32"/>
          <w:lang w:val="en"/>
        </w:rPr>
        <w:t>，</w:t>
      </w:r>
      <w:r>
        <w:rPr>
          <w:rFonts w:hint="eastAsia" w:ascii="仿宋" w:hAnsi="仿宋" w:eastAsia="仿宋" w:cs="仿宋"/>
          <w:kern w:val="21"/>
          <w:sz w:val="32"/>
          <w:szCs w:val="32"/>
        </w:rPr>
        <w:t>并向甲方解读服务内容。</w:t>
      </w:r>
    </w:p>
    <w:p>
      <w:pPr>
        <w:spacing w:line="600" w:lineRule="exact"/>
        <w:ind w:firstLine="640" w:firstLineChars="200"/>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3.法律、法规、规章和政策所规定的其他权利和义务。</w:t>
      </w:r>
    </w:p>
    <w:p>
      <w:pPr>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第七条 违约责任</w:t>
      </w:r>
    </w:p>
    <w:p>
      <w:pPr>
        <w:spacing w:line="600" w:lineRule="exact"/>
        <w:ind w:firstLine="640" w:firstLineChars="200"/>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（一）甲方逾期未支付服务费用的</w:t>
      </w:r>
      <w:r>
        <w:rPr>
          <w:rFonts w:hint="eastAsia" w:ascii="仿宋" w:hAnsi="仿宋" w:eastAsia="仿宋" w:cs="仿宋"/>
          <w:kern w:val="21"/>
          <w:sz w:val="32"/>
          <w:szCs w:val="32"/>
          <w:lang w:val="en"/>
        </w:rPr>
        <w:t>，</w:t>
      </w:r>
      <w:r>
        <w:rPr>
          <w:rFonts w:hint="eastAsia" w:ascii="仿宋" w:hAnsi="仿宋" w:eastAsia="仿宋" w:cs="仿宋"/>
          <w:kern w:val="21"/>
          <w:sz w:val="32"/>
          <w:szCs w:val="32"/>
        </w:rPr>
        <w:t>从逾期之日起每日按应支付服务费用总额的百分之         （小写：      %）向乙方支付违约金</w:t>
      </w:r>
      <w:r>
        <w:rPr>
          <w:rFonts w:hint="eastAsia" w:ascii="仿宋" w:hAnsi="仿宋" w:eastAsia="仿宋" w:cs="仿宋"/>
          <w:kern w:val="21"/>
          <w:sz w:val="32"/>
          <w:szCs w:val="32"/>
          <w:lang w:val="en"/>
        </w:rPr>
        <w:t>，</w:t>
      </w:r>
      <w:r>
        <w:rPr>
          <w:rFonts w:hint="eastAsia" w:ascii="仿宋" w:hAnsi="仿宋" w:eastAsia="仿宋" w:cs="仿宋"/>
          <w:kern w:val="21"/>
          <w:sz w:val="32"/>
          <w:szCs w:val="32"/>
        </w:rPr>
        <w:t xml:space="preserve">但不超过应付服务费用总额的百分之五十。   </w:t>
      </w:r>
    </w:p>
    <w:p>
      <w:pPr>
        <w:spacing w:line="600" w:lineRule="exact"/>
        <w:ind w:firstLine="640" w:firstLineChars="200"/>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（二）乙方未按本合同约定提供服务</w:t>
      </w:r>
      <w:r>
        <w:rPr>
          <w:rFonts w:hint="eastAsia" w:ascii="仿宋" w:hAnsi="仿宋" w:eastAsia="仿宋" w:cs="仿宋"/>
          <w:kern w:val="21"/>
          <w:sz w:val="32"/>
          <w:szCs w:val="32"/>
          <w:lang w:val="en"/>
        </w:rPr>
        <w:t>，</w:t>
      </w:r>
      <w:r>
        <w:rPr>
          <w:rFonts w:hint="eastAsia" w:ascii="仿宋" w:hAnsi="仿宋" w:eastAsia="仿宋" w:cs="仿宋"/>
          <w:kern w:val="21"/>
          <w:sz w:val="32"/>
          <w:szCs w:val="32"/>
        </w:rPr>
        <w:t>造成甲方损失的</w:t>
      </w:r>
      <w:r>
        <w:rPr>
          <w:rFonts w:hint="eastAsia" w:ascii="仿宋" w:hAnsi="仿宋" w:eastAsia="仿宋" w:cs="仿宋"/>
          <w:kern w:val="21"/>
          <w:sz w:val="32"/>
          <w:szCs w:val="32"/>
          <w:lang w:val="en"/>
        </w:rPr>
        <w:t>，</w:t>
      </w:r>
      <w:r>
        <w:rPr>
          <w:rFonts w:hint="eastAsia" w:ascii="仿宋" w:hAnsi="仿宋" w:eastAsia="仿宋" w:cs="仿宋"/>
          <w:kern w:val="21"/>
          <w:sz w:val="32"/>
          <w:szCs w:val="32"/>
        </w:rPr>
        <w:t>应予以赔偿</w:t>
      </w:r>
      <w:r>
        <w:rPr>
          <w:rFonts w:hint="eastAsia" w:ascii="仿宋" w:hAnsi="仿宋" w:eastAsia="仿宋" w:cs="仿宋"/>
          <w:kern w:val="21"/>
          <w:sz w:val="32"/>
          <w:szCs w:val="32"/>
          <w:lang w:val="en"/>
        </w:rPr>
        <w:t>，</w:t>
      </w:r>
      <w:r>
        <w:rPr>
          <w:rFonts w:hint="eastAsia" w:ascii="仿宋" w:hAnsi="仿宋" w:eastAsia="仿宋" w:cs="仿宋"/>
          <w:kern w:val="21"/>
          <w:sz w:val="32"/>
          <w:szCs w:val="32"/>
        </w:rPr>
        <w:t>具体赔偿金额和方式双方协商确定。</w:t>
      </w:r>
    </w:p>
    <w:p>
      <w:pPr>
        <w:spacing w:line="600" w:lineRule="exact"/>
        <w:ind w:firstLine="640" w:firstLineChars="200"/>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（三）任何一方违约所造成的损失</w:t>
      </w:r>
      <w:r>
        <w:rPr>
          <w:rFonts w:hint="eastAsia" w:ascii="仿宋" w:hAnsi="仿宋" w:eastAsia="仿宋" w:cs="仿宋"/>
          <w:kern w:val="21"/>
          <w:sz w:val="32"/>
          <w:szCs w:val="32"/>
          <w:lang w:val="en"/>
        </w:rPr>
        <w:t>，</w:t>
      </w:r>
      <w:r>
        <w:rPr>
          <w:rFonts w:hint="eastAsia" w:ascii="仿宋" w:hAnsi="仿宋" w:eastAsia="仿宋" w:cs="仿宋"/>
          <w:kern w:val="21"/>
          <w:sz w:val="32"/>
          <w:szCs w:val="32"/>
        </w:rPr>
        <w:t>均由违约方负责赔偿。</w:t>
      </w:r>
    </w:p>
    <w:p>
      <w:pPr>
        <w:spacing w:line="600" w:lineRule="exact"/>
        <w:ind w:firstLine="640" w:firstLineChars="200"/>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（四）因不可抗力等重大因素导致本合同无法履行的</w:t>
      </w:r>
      <w:r>
        <w:rPr>
          <w:rFonts w:hint="eastAsia" w:ascii="仿宋" w:hAnsi="仿宋" w:eastAsia="仿宋" w:cs="仿宋"/>
          <w:kern w:val="21"/>
          <w:sz w:val="32"/>
          <w:szCs w:val="32"/>
          <w:lang w:val="en"/>
        </w:rPr>
        <w:t>，</w:t>
      </w:r>
      <w:r>
        <w:rPr>
          <w:rFonts w:hint="eastAsia" w:ascii="仿宋" w:hAnsi="仿宋" w:eastAsia="仿宋" w:cs="仿宋"/>
          <w:kern w:val="21"/>
          <w:sz w:val="32"/>
          <w:szCs w:val="32"/>
        </w:rPr>
        <w:t>双方可以协商解除本合同</w:t>
      </w:r>
      <w:r>
        <w:rPr>
          <w:rFonts w:hint="eastAsia" w:ascii="仿宋" w:hAnsi="仿宋" w:eastAsia="仿宋" w:cs="仿宋"/>
          <w:kern w:val="21"/>
          <w:sz w:val="32"/>
          <w:szCs w:val="32"/>
          <w:lang w:val="en"/>
        </w:rPr>
        <w:t>，</w:t>
      </w:r>
      <w:r>
        <w:rPr>
          <w:rFonts w:hint="eastAsia" w:ascii="仿宋" w:hAnsi="仿宋" w:eastAsia="仿宋" w:cs="仿宋"/>
          <w:kern w:val="21"/>
          <w:sz w:val="32"/>
          <w:szCs w:val="32"/>
        </w:rPr>
        <w:t>双方均不承担违约责任。</w:t>
      </w:r>
    </w:p>
    <w:p>
      <w:pPr>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第八条 争议处理</w:t>
      </w:r>
    </w:p>
    <w:p>
      <w:pPr>
        <w:spacing w:line="600" w:lineRule="exact"/>
        <w:ind w:firstLine="640" w:firstLineChars="200"/>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甲乙双方发生争议</w:t>
      </w:r>
      <w:r>
        <w:rPr>
          <w:rFonts w:hint="eastAsia" w:ascii="仿宋" w:hAnsi="仿宋" w:eastAsia="仿宋" w:cs="仿宋"/>
          <w:kern w:val="21"/>
          <w:sz w:val="32"/>
          <w:szCs w:val="32"/>
          <w:lang w:val="en"/>
        </w:rPr>
        <w:t>，</w:t>
      </w:r>
      <w:r>
        <w:rPr>
          <w:rFonts w:hint="eastAsia" w:ascii="仿宋" w:hAnsi="仿宋" w:eastAsia="仿宋" w:cs="仿宋"/>
          <w:kern w:val="21"/>
          <w:sz w:val="32"/>
          <w:szCs w:val="32"/>
        </w:rPr>
        <w:t>应协商解决。如协商不成</w:t>
      </w:r>
      <w:r>
        <w:rPr>
          <w:rFonts w:hint="eastAsia" w:ascii="仿宋" w:hAnsi="仿宋" w:eastAsia="仿宋" w:cs="仿宋"/>
          <w:kern w:val="21"/>
          <w:sz w:val="32"/>
          <w:szCs w:val="32"/>
          <w:lang w:val="en"/>
        </w:rPr>
        <w:t>，</w:t>
      </w:r>
      <w:r>
        <w:rPr>
          <w:rFonts w:hint="eastAsia" w:ascii="仿宋" w:hAnsi="仿宋" w:eastAsia="仿宋" w:cs="仿宋"/>
          <w:kern w:val="21"/>
          <w:sz w:val="32"/>
          <w:szCs w:val="32"/>
        </w:rPr>
        <w:t>可以向服务所在地农业行政主管部门申请调解</w:t>
      </w:r>
      <w:r>
        <w:rPr>
          <w:rFonts w:hint="eastAsia" w:ascii="仿宋" w:hAnsi="仿宋" w:eastAsia="仿宋" w:cs="仿宋"/>
          <w:kern w:val="21"/>
          <w:sz w:val="32"/>
          <w:szCs w:val="32"/>
          <w:lang w:val="en"/>
        </w:rPr>
        <w:t>，</w:t>
      </w:r>
      <w:r>
        <w:rPr>
          <w:rFonts w:hint="eastAsia" w:ascii="仿宋" w:hAnsi="仿宋" w:eastAsia="仿宋" w:cs="仿宋"/>
          <w:kern w:val="21"/>
          <w:sz w:val="32"/>
          <w:szCs w:val="32"/>
        </w:rPr>
        <w:t>也可以向服务所在地人民法院提起诉讼。</w:t>
      </w:r>
    </w:p>
    <w:p>
      <w:pPr>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第九条 其他约定事项</w:t>
      </w:r>
    </w:p>
    <w:p>
      <w:pPr>
        <w:spacing w:line="600" w:lineRule="exact"/>
        <w:ind w:firstLine="640" w:firstLineChars="200"/>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（一）本合同自甲乙双方签字之日起生效。</w:t>
      </w:r>
    </w:p>
    <w:p>
      <w:pPr>
        <w:spacing w:line="600" w:lineRule="exact"/>
        <w:ind w:firstLine="640" w:firstLineChars="200"/>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（二）未尽或须调整事宜经甲乙双方协商一致可签订补充协议</w:t>
      </w:r>
      <w:r>
        <w:rPr>
          <w:rFonts w:hint="eastAsia" w:ascii="仿宋" w:hAnsi="仿宋" w:eastAsia="仿宋" w:cs="仿宋"/>
          <w:kern w:val="21"/>
          <w:sz w:val="32"/>
          <w:szCs w:val="32"/>
          <w:lang w:val="en"/>
        </w:rPr>
        <w:t>，</w:t>
      </w:r>
      <w:r>
        <w:rPr>
          <w:rFonts w:hint="eastAsia" w:ascii="仿宋" w:hAnsi="仿宋" w:eastAsia="仿宋" w:cs="仿宋"/>
          <w:kern w:val="21"/>
          <w:sz w:val="32"/>
          <w:szCs w:val="32"/>
        </w:rPr>
        <w:t>补充协议与本合同具有同等法律效力。补充协议与本合同不一致的</w:t>
      </w:r>
      <w:r>
        <w:rPr>
          <w:rFonts w:hint="eastAsia" w:ascii="仿宋" w:hAnsi="仿宋" w:eastAsia="仿宋" w:cs="仿宋"/>
          <w:kern w:val="21"/>
          <w:sz w:val="32"/>
          <w:szCs w:val="32"/>
          <w:lang w:val="en"/>
        </w:rPr>
        <w:t>，</w:t>
      </w:r>
      <w:r>
        <w:rPr>
          <w:rFonts w:hint="eastAsia" w:ascii="仿宋" w:hAnsi="仿宋" w:eastAsia="仿宋" w:cs="仿宋"/>
          <w:kern w:val="21"/>
          <w:sz w:val="32"/>
          <w:szCs w:val="32"/>
        </w:rPr>
        <w:t>以补充协议为准。</w:t>
      </w:r>
    </w:p>
    <w:p>
      <w:pPr>
        <w:spacing w:line="600" w:lineRule="exact"/>
        <w:ind w:firstLine="640" w:firstLineChars="200"/>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（三）服务所在地村委会或村集体经济组织可对甲乙双方的托管服务关系予以指导和监督。</w:t>
      </w:r>
    </w:p>
    <w:p>
      <w:pPr>
        <w:spacing w:line="600" w:lineRule="exact"/>
        <w:ind w:firstLine="640" w:firstLineChars="200"/>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（四）本合同（包括附件《农业生产托管服务标准指引》）一式两份</w:t>
      </w:r>
      <w:r>
        <w:rPr>
          <w:rFonts w:hint="eastAsia" w:ascii="仿宋" w:hAnsi="仿宋" w:eastAsia="仿宋" w:cs="仿宋"/>
          <w:kern w:val="21"/>
          <w:sz w:val="32"/>
          <w:szCs w:val="32"/>
          <w:lang w:val="en"/>
        </w:rPr>
        <w:t>，</w:t>
      </w:r>
      <w:r>
        <w:rPr>
          <w:rFonts w:hint="eastAsia" w:ascii="仿宋" w:hAnsi="仿宋" w:eastAsia="仿宋" w:cs="仿宋"/>
          <w:kern w:val="21"/>
          <w:sz w:val="32"/>
          <w:szCs w:val="32"/>
        </w:rPr>
        <w:t>甲乙双方各持一份</w:t>
      </w:r>
      <w:r>
        <w:rPr>
          <w:rFonts w:hint="eastAsia" w:ascii="仿宋" w:hAnsi="仿宋" w:eastAsia="仿宋" w:cs="仿宋"/>
          <w:kern w:val="21"/>
          <w:sz w:val="32"/>
          <w:szCs w:val="32"/>
          <w:lang w:val="en"/>
        </w:rPr>
        <w:t>，</w:t>
      </w:r>
      <w:r>
        <w:rPr>
          <w:rFonts w:hint="eastAsia" w:ascii="仿宋" w:hAnsi="仿宋" w:eastAsia="仿宋" w:cs="仿宋"/>
          <w:kern w:val="21"/>
          <w:sz w:val="32"/>
          <w:szCs w:val="32"/>
        </w:rPr>
        <w:t>具有同等法律效力。</w:t>
      </w:r>
    </w:p>
    <w:p>
      <w:pPr>
        <w:spacing w:line="600" w:lineRule="exact"/>
        <w:ind w:firstLine="640" w:firstLineChars="200"/>
        <w:textAlignment w:val="baseline"/>
        <w:rPr>
          <w:rFonts w:hint="eastAsia" w:ascii="仿宋" w:hAnsi="仿宋" w:eastAsia="仿宋" w:cs="仿宋"/>
          <w:kern w:val="21"/>
          <w:sz w:val="32"/>
          <w:szCs w:val="32"/>
          <w:u w:val="single"/>
        </w:rPr>
      </w:pPr>
      <w:r>
        <w:rPr>
          <w:rFonts w:hint="eastAsia" w:ascii="仿宋" w:hAnsi="仿宋" w:eastAsia="仿宋" w:cs="仿宋"/>
          <w:kern w:val="21"/>
          <w:sz w:val="32"/>
          <w:szCs w:val="32"/>
        </w:rPr>
        <w:t>（五）其他约定事宜：</w:t>
      </w:r>
      <w:r>
        <w:rPr>
          <w:rFonts w:hint="eastAsia" w:ascii="仿宋" w:hAnsi="仿宋" w:eastAsia="仿宋" w:cs="仿宋"/>
          <w:kern w:val="21"/>
          <w:sz w:val="32"/>
          <w:szCs w:val="32"/>
          <w:u w:val="single" w:color="000000"/>
        </w:rPr>
        <w:t xml:space="preserve">                            </w:t>
      </w:r>
      <w:r>
        <w:rPr>
          <w:rFonts w:hint="eastAsia" w:ascii="仿宋" w:hAnsi="仿宋" w:eastAsia="仿宋" w:cs="仿宋"/>
          <w:kern w:val="21"/>
          <w:sz w:val="32"/>
          <w:szCs w:val="32"/>
        </w:rPr>
        <w:t>。</w:t>
      </w:r>
    </w:p>
    <w:p>
      <w:pPr>
        <w:spacing w:line="600" w:lineRule="exact"/>
        <w:textAlignment w:val="baseline"/>
        <w:rPr>
          <w:rFonts w:hint="eastAsia" w:ascii="仿宋" w:hAnsi="仿宋" w:eastAsia="仿宋" w:cs="仿宋"/>
          <w:kern w:val="21"/>
          <w:sz w:val="32"/>
          <w:szCs w:val="32"/>
        </w:rPr>
      </w:pPr>
    </w:p>
    <w:p>
      <w:pPr>
        <w:spacing w:line="600" w:lineRule="exact"/>
        <w:ind w:firstLine="640" w:firstLineChars="200"/>
        <w:textAlignment w:val="baseline"/>
        <w:rPr>
          <w:rFonts w:hint="eastAsia" w:ascii="仿宋" w:hAnsi="仿宋" w:eastAsia="仿宋" w:cs="仿宋"/>
          <w:kern w:val="21"/>
          <w:sz w:val="32"/>
          <w:szCs w:val="32"/>
        </w:rPr>
      </w:pPr>
      <w:r>
        <w:rPr>
          <w:rFonts w:hint="eastAsia" w:ascii="仿宋" w:hAnsi="仿宋" w:eastAsia="仿宋" w:cs="仿宋"/>
          <w:kern w:val="21"/>
          <w:sz w:val="32"/>
          <w:szCs w:val="32"/>
        </w:rPr>
        <w:t>附件：农业生产托管服务标准指引</w:t>
      </w:r>
    </w:p>
    <w:p>
      <w:pPr>
        <w:spacing w:line="600" w:lineRule="exact"/>
        <w:ind w:firstLine="640" w:firstLineChars="200"/>
        <w:textAlignment w:val="baseline"/>
        <w:rPr>
          <w:rFonts w:hint="eastAsia" w:ascii="仿宋_GB2312" w:hAnsi="仿宋_GB2312" w:eastAsia="仿宋_GB2312" w:cs="仿宋_GB2312"/>
          <w:kern w:val="21"/>
          <w:sz w:val="32"/>
          <w:szCs w:val="32"/>
        </w:rPr>
      </w:pPr>
    </w:p>
    <w:p>
      <w:pPr>
        <w:spacing w:line="600" w:lineRule="exact"/>
        <w:textAlignment w:val="baseline"/>
        <w:rPr>
          <w:rFonts w:hint="eastAsia" w:ascii="仿宋_GB2312" w:hAnsi="仿宋_GB2312" w:eastAsia="仿宋_GB2312" w:cs="仿宋_GB2312"/>
          <w:kern w:val="21"/>
          <w:sz w:val="32"/>
          <w:szCs w:val="32"/>
        </w:rPr>
      </w:pPr>
    </w:p>
    <w:p>
      <w:pPr>
        <w:spacing w:line="600" w:lineRule="exact"/>
        <w:textAlignment w:val="baseline"/>
        <w:rPr>
          <w:rFonts w:hint="eastAsia" w:ascii="仿宋_GB2312" w:hAnsi="仿宋_GB2312" w:eastAsia="仿宋_GB2312" w:cs="仿宋_GB2312"/>
          <w:kern w:val="21"/>
          <w:sz w:val="32"/>
          <w:szCs w:val="32"/>
        </w:rPr>
      </w:pPr>
    </w:p>
    <w:p>
      <w:pPr>
        <w:spacing w:line="600" w:lineRule="exact"/>
        <w:textAlignment w:val="baseline"/>
        <w:rPr>
          <w:rFonts w:hint="eastAsia" w:ascii="仿宋_GB2312" w:hAnsi="仿宋_GB2312" w:eastAsia="仿宋_GB2312" w:cs="仿宋_GB2312"/>
          <w:kern w:val="21"/>
          <w:sz w:val="32"/>
          <w:szCs w:val="32"/>
        </w:rPr>
      </w:pPr>
    </w:p>
    <w:p>
      <w:pPr>
        <w:spacing w:line="600" w:lineRule="exact"/>
        <w:ind w:firstLine="643" w:firstLineChars="200"/>
        <w:jc w:val="both"/>
        <w:textAlignment w:val="baseline"/>
        <w:rPr>
          <w:rFonts w:hint="eastAsia" w:ascii="仿宋" w:hAnsi="仿宋" w:eastAsia="仿宋" w:cs="仿宋"/>
          <w:b/>
          <w:bCs/>
          <w:sz w:val="32"/>
          <w:szCs w:val="32"/>
        </w:rPr>
      </w:pPr>
      <w:r>
        <w:rPr>
          <w:rFonts w:hint="eastAsia" w:ascii="仿宋" w:hAnsi="仿宋" w:eastAsia="仿宋" w:cs="仿宋"/>
          <w:b/>
          <w:bCs/>
          <w:sz w:val="32"/>
          <w:szCs w:val="32"/>
        </w:rPr>
        <w:t>甲方（签字或盖章）：</w:t>
      </w:r>
    </w:p>
    <w:p>
      <w:pPr>
        <w:spacing w:line="600" w:lineRule="exact"/>
        <w:ind w:firstLine="643" w:firstLineChars="200"/>
        <w:jc w:val="both"/>
        <w:textAlignment w:val="baseline"/>
        <w:rPr>
          <w:rFonts w:hint="eastAsia" w:ascii="仿宋" w:hAnsi="仿宋" w:eastAsia="仿宋" w:cs="仿宋"/>
          <w:b/>
          <w:bCs/>
          <w:sz w:val="32"/>
          <w:szCs w:val="32"/>
        </w:rPr>
      </w:pPr>
      <w:r>
        <w:rPr>
          <w:rFonts w:hint="eastAsia" w:ascii="仿宋" w:hAnsi="仿宋" w:eastAsia="仿宋" w:cs="仿宋"/>
          <w:b/>
          <w:bCs/>
          <w:sz w:val="32"/>
          <w:szCs w:val="32"/>
        </w:rPr>
        <w:t>时    间 ：</w:t>
      </w:r>
      <w:r>
        <w:rPr>
          <w:rFonts w:hint="eastAsia" w:ascii="仿宋" w:hAnsi="仿宋" w:eastAsia="仿宋" w:cs="仿宋"/>
          <w:b/>
          <w:bCs/>
          <w:sz w:val="32"/>
          <w:szCs w:val="32"/>
          <w:u w:val="single" w:color="000000"/>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color="000000"/>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color="000000"/>
        </w:rPr>
        <w:t xml:space="preserve">    </w:t>
      </w:r>
      <w:r>
        <w:rPr>
          <w:rFonts w:hint="eastAsia" w:ascii="仿宋" w:hAnsi="仿宋" w:eastAsia="仿宋" w:cs="仿宋"/>
          <w:b/>
          <w:bCs/>
          <w:sz w:val="32"/>
          <w:szCs w:val="32"/>
        </w:rPr>
        <w:t>日</w:t>
      </w:r>
    </w:p>
    <w:p>
      <w:pPr>
        <w:spacing w:line="600" w:lineRule="exact"/>
        <w:ind w:firstLine="643" w:firstLineChars="200"/>
        <w:jc w:val="both"/>
        <w:textAlignment w:val="baseline"/>
        <w:rPr>
          <w:rFonts w:hint="eastAsia" w:ascii="仿宋" w:hAnsi="仿宋" w:eastAsia="仿宋" w:cs="仿宋"/>
          <w:b/>
          <w:bCs/>
          <w:sz w:val="32"/>
          <w:szCs w:val="32"/>
        </w:rPr>
      </w:pPr>
    </w:p>
    <w:p>
      <w:pPr>
        <w:spacing w:line="600" w:lineRule="exact"/>
        <w:ind w:firstLine="643" w:firstLineChars="200"/>
        <w:jc w:val="both"/>
        <w:textAlignment w:val="baseline"/>
        <w:rPr>
          <w:rFonts w:hint="eastAsia" w:ascii="仿宋" w:hAnsi="仿宋" w:eastAsia="仿宋" w:cs="仿宋"/>
          <w:sz w:val="32"/>
          <w:szCs w:val="32"/>
          <w:u w:val="single"/>
        </w:rPr>
      </w:pPr>
      <w:r>
        <w:rPr>
          <w:rFonts w:hint="eastAsia" w:ascii="仿宋" w:hAnsi="仿宋" w:eastAsia="仿宋" w:cs="仿宋"/>
          <w:b/>
          <w:bCs/>
          <w:sz w:val="32"/>
          <w:szCs w:val="32"/>
        </w:rPr>
        <w:t>乙方（签字或盖章）：</w:t>
      </w:r>
    </w:p>
    <w:p>
      <w:pPr>
        <w:spacing w:line="600" w:lineRule="exact"/>
        <w:ind w:firstLine="643" w:firstLineChars="200"/>
        <w:jc w:val="both"/>
        <w:textAlignment w:val="baseline"/>
        <w:rPr>
          <w:rFonts w:hint="eastAsia" w:ascii="仿宋" w:hAnsi="仿宋" w:eastAsia="仿宋" w:cs="仿宋"/>
          <w:b/>
          <w:bCs/>
          <w:sz w:val="32"/>
          <w:szCs w:val="32"/>
        </w:rPr>
      </w:pPr>
      <w:r>
        <w:rPr>
          <w:rFonts w:hint="eastAsia" w:ascii="仿宋" w:hAnsi="仿宋" w:eastAsia="仿宋" w:cs="仿宋"/>
          <w:b/>
          <w:bCs/>
          <w:sz w:val="32"/>
          <w:szCs w:val="32"/>
        </w:rPr>
        <w:t>时    间 ：</w:t>
      </w:r>
      <w:r>
        <w:rPr>
          <w:rFonts w:hint="eastAsia" w:ascii="仿宋" w:hAnsi="仿宋" w:eastAsia="仿宋" w:cs="仿宋"/>
          <w:b/>
          <w:bCs/>
          <w:sz w:val="32"/>
          <w:szCs w:val="32"/>
          <w:u w:val="single" w:color="000000"/>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color="000000"/>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color="000000"/>
        </w:rPr>
        <w:t xml:space="preserve">    </w:t>
      </w:r>
      <w:r>
        <w:rPr>
          <w:rFonts w:hint="eastAsia" w:ascii="仿宋" w:hAnsi="仿宋" w:eastAsia="仿宋" w:cs="仿宋"/>
          <w:b/>
          <w:bCs/>
          <w:sz w:val="32"/>
          <w:szCs w:val="32"/>
        </w:rPr>
        <w:t>日</w:t>
      </w:r>
    </w:p>
    <w:p>
      <w:pPr>
        <w:pStyle w:val="12"/>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highlight w:val="none"/>
        </w:r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4"/>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sectPr>
          <w:headerReference r:id="rId18" w:type="default"/>
          <w:footerReference r:id="rId20" w:type="default"/>
          <w:headerReference r:id="rId19" w:type="even"/>
          <w:footerReference r:id="rId21" w:type="even"/>
          <w:pgSz w:w="11906" w:h="16838"/>
          <w:pgMar w:top="1440" w:right="1417" w:bottom="1440" w:left="1417" w:header="851" w:footer="992" w:gutter="0"/>
          <w:pgNumType w:fmt="decimal" w:start="1"/>
          <w:cols w:space="425" w:num="1"/>
          <w:rtlGutter w:val="0"/>
          <w:docGrid w:type="lines" w:linePitch="312" w:charSpace="0"/>
        </w:sectPr>
      </w:pPr>
    </w:p>
    <w:p>
      <w:pPr>
        <w:pStyle w:val="2"/>
        <w:rPr>
          <w:rFonts w:hint="eastAsia"/>
        </w:r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34</w:t>
      </w:r>
      <w:r>
        <w:rPr>
          <w:rFonts w:hint="eastAsia" w:ascii="方正小标宋简体" w:hAnsi="方正小标宋简体" w:eastAsia="方正小标宋简体" w:cs="方正小标宋简体"/>
          <w:sz w:val="44"/>
          <w:szCs w:val="44"/>
        </w:rPr>
        <w:t>次常务会议召开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9月11日，十一届昌江区人民政府召开第34次常务会，传达学习近期习近平总书记重要讲话、重要指示精神和党中央、国务院重要会议精神，省、市重要会议精神和省、市领导讲话、指示精神，听取有关工作情况汇报，研究有关事项。区委副书记、区政府党组书记、区长伊文斌主持会议。</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习近平总书记在文化传承发展座谈会上的重要讲话精神。会议强调，要认真学习领悟。把文化建设摆在更加突出位置，坚持文化自信，立足昌江特色，深挖优秀传统文化，致力于本地文化创造性打造、创新性发展；要勇于扛起新的文化使命。大力推动全市御窑申遗中涉及昌江的三闾庙古码头、丽阳古窑址等有关工作开展，有关责任部门要统筹协调、形成合力，确保各项任务高效有序完成；要切实增强推进文化事业高质量发展的责任感。积极融入国家试验区建设，加强全方位文化交流与合作，配合全市办好即将开展的陶瓷文博会等活动。</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省委书记尹弘在2023年第11次省委理论学习中心组集体学习时的讲话精神。会议强调，要准确把握会议精神。深入学习贯彻习近平生态文明思想，全面落实各级生态环境保护会议精神，把生态环保工作放在头等重要位置，高标准完成生态文明建设各项任务要求；要扎实推进生态文明建设。充分发挥昌江的区位优势和生态环境优势，大力发展生态产业，探索可持续的、突出昌江地方特色的生态产品价值实现路径；要统筹做好绿色与发展。围绕制造业重点产业链现代化建设“1269”行动计划，在推进数字经济、电子信息等新型产业发展的同时，严格落实“双碳”工作，不断提升经济发展“含绿量”。</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市委书记刘锋在景德镇市庆祝第39个教师节大会上的讲话精神。会议强调，要坚持党对教育事业的全面领导。扎实推进学校党建工作，强化立德树人工作导向，结合昌江教育实际，优先规划教育事业，制定并落实好昌江教育发展各类举措；要优化教育资源配置。紧紧围绕全省县域义务教育优质均衡发展要求，着眼于教育发展大局，优化教育资源配比，提高现有教学水平，打响教育品牌，实现昌江教育高质量发展；要筑巢引凤提升师资力量。下大力气吸引优质人才、教育界名师入驻昌江，通过提升教师社会荣誉感、责任感、归属感，让其更加积极投入教育，助力昌江教育发展。</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江西省安全生产条例》。会议强调，要认真组织学习，深刻把握精髓要义。按照《条例》，吸取近年来燃气、经营性自建房等行业、领域生产安全事故教训，着力解决安全生产的薄弱环节和突出问题；要广泛开展宣传，营造全区安全生产良好氛围。切实发挥基层宣传动员作用，将安全生产宣传工作下沉一线，充分利用各类新兴媒体，广泛宣传新《条例》，普及安全生产法规，营造良好的安全生产法治氛围；要压实责任担当，强化安全隐患排查整治。切实按照“党政同责、一岗双责”和“三管三必须”的要求，紧绷安全生产弦，克服麻痹思想，全面提高安全风险意识和应急处突能力，确保昌江全域生产安全。</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听取了2023年1-8月全区招商引资工作情况汇报。会议强调，要聚集重点项目扩大招商力度。继续围绕重点项目，加快腾笼换鸟，推进高标准厂房建设，持之以恒抓落实，巩固各项要素基础；要聚焦优势产业丰富招商举措。发挥电子信息和生物医药两大主导产业优势，以“1269”行动计划为指引，坚持“高大上+链群配”，不断延伸优势产业发展链条，进一步巩固发展优势；要聚焦发展态势推进精准招商。突出领导带头，强化精准对接，深化全周期、全链条服务，全力以赴提高项目开工率、转化率、竣工率。</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会议审议并原则通过了《昌江区优化农村“一老一小”服务资源配置试点工作方案》《昌江区深化公办养老机构改革实施方案》。</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会议还研究了其他事项。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p>
    <w:p>
      <w:pPr>
        <w:pStyle w:val="3"/>
        <w:rPr>
          <w:rFonts w:hint="eastAsia" w:ascii="仿宋_GB2312" w:hAnsi="仿宋_GB2312" w:eastAsia="仿宋_GB2312" w:cs="仿宋_GB2312"/>
          <w:kern w:val="2"/>
          <w:sz w:val="28"/>
          <w:szCs w:val="28"/>
          <w:lang w:val="en-US" w:eastAsia="zh-CN" w:bidi="ar-SA"/>
        </w:rPr>
      </w:pPr>
    </w:p>
    <w:p>
      <w:pPr>
        <w:pStyle w:val="6"/>
        <w:ind w:left="0" w:leftChars="0" w:firstLine="0" w:firstLineChars="0"/>
        <w:rPr>
          <w:rFonts w:hint="eastAsia"/>
        </w:rPr>
      </w:pPr>
    </w:p>
    <w:p>
      <w:pPr>
        <w:rPr>
          <w:rFonts w:hint="eastAsia"/>
        </w:r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35</w:t>
      </w:r>
      <w:r>
        <w:rPr>
          <w:rFonts w:hint="eastAsia" w:ascii="方正小标宋简体" w:hAnsi="方正小标宋简体" w:eastAsia="方正小标宋简体" w:cs="方正小标宋简体"/>
          <w:sz w:val="44"/>
          <w:szCs w:val="44"/>
        </w:rPr>
        <w:t>次常务会议召开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10月16日，十一届昌江区政府第35次常务会召开，传达学习习近平总书记近期重要讲话、重要指示精神和党中央、国务院重要会议精神，省委、省政府和市委、市政府重要会议精神，听取有关工作情况汇报，研究有关事项。区委副书记、区政府党组书记、区长伊文斌主持会议。</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习近平总书记对新时代办公厅工作作出的重要指示精神。会议强调，习近平总书记的重要指示为新时代如何做好“三服务”工作提供了根本遵循，全区各级政府系统办公室干部要认真学习指示精神，并贯彻落实到工作的全过程、各方面。一是要切实提高政治站位。树立大局观念，以实际行动坚定拥护“两个确立”、坚决做到“两个维护”。及时全面把握中央、省、市最新动态要求，结合区情等实际特点开展好办公室各项工作。二是要持续增强履职能力。强化学习意识，优化提升综合能力，特别是在信息调研、督促检查、沟通协调、文稿服务等方面下深功夫、练就硬本领。三是持续提升工作标准。要对标先进单位比学赶超、奋勇争先，以一流的水准确保各项工作“零差错”“零缺陷”“零失误”。</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省长叶建春在省安委会全体成员会议暨全省安全防范工作电视电话会议上的讲话精神。会议指出，全区各相关部门务必要克服侥幸心理和麻痹松懈思想，用心做好安全防范和监管等各项工作。一是要强化安全隐患排查整治。盯紧燃气安全、自建房安全、道路交通安全等重点领域，常态化开展好隐患排查整治工作，落细落实各项安全防范措施，压实属地管理责任、部门监管责任和企业主体责任，严密防范各类生产安全事故发生。二是要压实压细整改责任。对查出的风险隐患要严格建立台账，明确管控责任人，制定具体管控措施，实行动态清单式管理，对查出的重大隐患要实行挂牌督办，确保所有问题整改按时推进、对账销号、闭环管理，确保安全风险专项整治取得实效。三是要强化提升应急处置能力。严格执行24小时值班制度和领导干部在岗带班制度，坚决杜绝空岗、脱岗。严格落实信息报告制度，按规定及时、如实报告生产安全事故、自然灾害等突发事件信息。要加强应急准备各项工作，确保一旦发生险情，能科学高效处置。</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市委书记刘锋在市级领导干部学习贯彻习近平新时代中国特色社会主义思想主题教育专题读书班开班式上的讲话精神。会议要求，开展主题教育，是党中央作出的重大决策部署，时间紧、任务重、要求高。一是要提高站位，增强政治自觉。区政府班子成员要带头读原著学原文悟原理，学深悟透习近平新时代中国特色社会主义思想，更加深刻领悟“两个确立”的决定性意义，坚决做到“两个维护”。二是要科学谋划，落实目标任务。牢牢把握“学思想、强党性、重实践、建新功”的总要求，根据全区实际确定需要解决的具体问题，做到问题不解决不松手、整改不到位不罢休。三是要以上率下，强化示范引领。念好“深、实、细、准、效”五字诀，深入基层把脉问诊、解剖麻雀，真正把情况摸清、把问题找准、把对策提实。</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会议审议并原则通过了《昌江区行政许可事项清单》。审议了关于启动景德镇市汪王庙社区高品质智慧社区建设试点信息化服务平台建设事宜。</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会议还研究了其他事项。</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p>
    <w:sectPr>
      <w:headerReference r:id="rId22" w:type="default"/>
      <w:headerReference r:id="rId23" w:type="even"/>
      <w:type w:val="continuous"/>
      <w:pgSz w:w="11906" w:h="16838"/>
      <w:pgMar w:top="1440" w:right="1417" w:bottom="1440"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方正书宋_GBK">
    <w:altName w:val="微软雅黑"/>
    <w:panose1 w:val="00000000000000000000"/>
    <w:charset w:val="86"/>
    <w:family w:val="auto"/>
    <w:pitch w:val="default"/>
    <w:sig w:usb0="00000000" w:usb1="0000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p>
                      </w:txbxContent>
                    </wps:txbx>
                    <wps:bodyPr wrap="none" lIns="0" tIns="0" rIns="0" bIns="0" upright="0">
                      <a:spAutoFit/>
                    </wps:bodyPr>
                  </wps:wsp>
                </a:graphicData>
              </a:graphic>
            </wp:anchor>
          </w:drawing>
        </mc:Choice>
        <mc:Fallback>
          <w:pict>
            <v:shape id="文本框 74"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22c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CUljlsc+Pnnj/OvP+ff38nb&#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fbZyQEAAJoDAAAOAAAAAAAAAAEAIAAAAB4BAABkcnMvZTJvRG9j&#10;LnhtbFBLBQYAAAAABgAGAFkBAABZBQAAAAA=&#10;">
              <v:fill on="f" focussize="0,0"/>
              <v:stroke on="f"/>
              <v:imagedata o:title=""/>
              <o:lock v:ext="edit" aspectratio="f"/>
              <v:textbox inset="0mm,0mm,0mm,0mm" style="mso-fit-shape-to-text:t;">
                <w:txbxContent>
                  <w:p>
                    <w:pPr>
                      <w:pStyle w:val="1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5"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vU2soBAACaAwAADgAAAGRycy9lMm9Eb2MueG1srVPNjtMwEL4j8Q6W&#10;79TZSgt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68pcdziwM8/vp9//j7/+kbe&#10;XG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pvU2soBAACaAwAADgAAAAAAAAABACAAAAAeAQAAZHJzL2Uyb0Rv&#10;Yy54bWxQSwUGAAAAAAYABgBZAQAAWgUAAAAA&#10;">
              <v:fill on="f" focussize="0,0"/>
              <v:stroke on="f"/>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ind w:right="560"/>
      <w:jc w:val="right"/>
      <w:rPr>
        <w:rFonts w:ascii="宋体" w:hAnsi="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&#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OepzyQEAAJoDAAAOAAAAAAAAAAEAIAAAAB4BAABkcnMvZTJvRG9j&#10;LnhtbFBLBQYAAAAABgAGAFkBAABZBQAAAAA=&#10;">
              <v:fill on="f" focussize="0,0"/>
              <v:stroke on="f"/>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宋体" w:hAnsi="宋体"/>
        <w:sz w:val="28"/>
        <w:szCs w:val="28"/>
      </w:rPr>
      <w:t xml:space="preserve"> </w:t>
    </w:r>
  </w:p>
  <w:p>
    <w:pPr>
      <w:pStyle w:val="10"/>
      <w:wordWrap w:val="0"/>
      <w:jc w:val="right"/>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p>
                      </w:txbxContent>
                    </wps:txbx>
                    <wps:bodyPr wrap="none" lIns="0" tIns="0" rIns="0" bIns="0" upright="0">
                      <a:spAutoFit/>
                    </wps:bodyPr>
                  </wps:wsp>
                </a:graphicData>
              </a:graphic>
            </wp:anchor>
          </w:drawing>
        </mc:Choice>
        <mc:Fallback>
          <w:pict>
            <v:shape id="文本框 77"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&#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zWi+iyQEAAJoDAAAOAAAAAAAAAAEAIAAAAB4BAABkcnMvZTJvRG9j&#10;LnhtbFBLBQYAAAAABgAGAFkBAABZBQAAAAA=&#10;">
              <v:fill on="f" focussize="0,0"/>
              <v:stroke on="f"/>
              <v:imagedata o:title=""/>
              <o:lock v:ext="edit" aspectratio="f"/>
              <v:textbox inset="0mm,0mm,0mm,0mm" style="mso-fit-shape-to-text:t;">
                <w:txbxContent>
                  <w:p>
                    <w:pPr>
                      <w:pStyle w:val="1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p>
                      </w:txbxContent>
                    </wps:txbx>
                    <wps:bodyPr wrap="none" lIns="0" tIns="0" rIns="0" bIns="0" upright="0">
                      <a:spAutoFit/>
                    </wps:bodyPr>
                  </wps:wsp>
                </a:graphicData>
              </a:graphic>
            </wp:anchor>
          </w:drawing>
        </mc:Choice>
        <mc:Fallback>
          <w:pict>
            <v:shape id="文本框 78"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1bnPsgBAACb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DUljluc+OX7t8uPX5efX8mr&#10;Ogs0BGgw7z5gZhrf+BGTFz+gM/MeVbT5i4wIxlHe81VeOSYi8qN6XdcVhgTGlgvis4fnIUJ6K70l&#10;2WhpxPkVWfnpPaQpdUnJ1Zy/08aUGRr3lwMxs4fl3qces5XG/TgT2vvujHwGHH1LHW46JeadQ2Xz&#10;lixGXIz9YhxD1Ie+rFGuB+H1MWETpbdcYYKdC+PMCrt5v/JS/HkvWQ//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9W5z7IAQAAmwMAAA4AAAAAAAAAAQAgAAAAHgEAAGRycy9lMm9Eb2Mu&#10;eG1sUEsFBgAAAAAGAAYAWQEAAFgFAAAAAA==&#10;">
              <v:fill on="f" focussize="0,0"/>
              <v:stroke on="f"/>
              <v:imagedata o:title=""/>
              <o:lock v:ext="edit" aspectratio="f"/>
              <v:textbox inset="0mm,0mm,0mm,0mm" style="mso-fit-shape-to-text:t;">
                <w:txbxContent>
                  <w:p>
                    <w:pPr>
                      <w:pStyle w:val="10"/>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4"/>
      </w:rPr>
    </w:pPr>
    <w:r>
      <w:rPr>
        <w:sz w:val="24"/>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79"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85T98oBAACbAwAADgAAAGRycy9lMm9Eb2MueG1srVPNjtMwEL4j8Q6W&#10;79TZC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3iJrykxHGLEz///HH+9ef8+zt5&#10;/SYL1AeoMe82YGYa3vkBk2c/oDPzHlS0+YuMCMZR3tNFXjkkIvKj1XK1qjAkMDZfEJ/dPQ8R0nvp&#10;LclGQyPOr8jKjx8hjalzSq7m/I02pszQuP8ciJk9LPc+9pitNOyGidDOtyfk0+PoG+pw0ykxHxwq&#10;m7dkNuJs7GbjEKLed2WNcj0Ibw8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85T98oBAACbAwAADgAAAAAAAAABACAAAAAeAQAAZHJzL2Uyb0Rv&#10;Yy54bWxQSwUGAAAAAAYABgBZAQAAWgU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18"/>
      </w:rPr>
      <mc:AlternateContent>
        <mc:Choice Requires="wps">
          <w:drawing>
            <wp:anchor distT="0" distB="0" distL="114300" distR="114300" simplePos="0" relativeHeight="251677696"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ind w:firstLine="280" w:firstLineChars="100"/>
                            <w:rPr>
                              <w:rStyle w:val="22"/>
                              <w:rFonts w:hint="eastAsia" w:ascii="宋体" w:hAnsi="宋体"/>
                              <w:sz w:val="28"/>
                              <w:szCs w:val="28"/>
                            </w:rPr>
                          </w:pPr>
                          <w:r>
                            <w:rPr>
                              <w:rStyle w:val="22"/>
                              <w:rFonts w:hint="eastAsia" w:ascii="宋体" w:hAnsi="宋体"/>
                              <w:sz w:val="28"/>
                              <w:szCs w:val="28"/>
                            </w:rPr>
                            <w:t xml:space="preserve">— </w:t>
                          </w: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8</w:t>
                          </w:r>
                          <w:r>
                            <w:rPr>
                              <w:rFonts w:ascii="宋体" w:hAnsi="宋体"/>
                              <w:sz w:val="28"/>
                              <w:szCs w:val="28"/>
                            </w:rPr>
                            <w:fldChar w:fldCharType="end"/>
                          </w:r>
                          <w:r>
                            <w:rPr>
                              <w:rStyle w:val="22"/>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5" o:spid="_x0000_s1026" o:spt="202" type="#_x0000_t202" style="position:absolute;left:0pt;margin-top:0pt;height:144pt;width:144pt;mso-position-horizontal:right;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11eJZMoBAACbAwAADgAAAAAAAAABACAAAAAeAQAAZHJzL2Uyb0Rv&#10;Yy54bWxQSwUGAAAAAAYABgBZAQAAWgUAAAAA&#10;">
              <v:fill on="f" focussize="0,0"/>
              <v:stroke on="f"/>
              <v:imagedata o:title=""/>
              <o:lock v:ext="edit" aspectratio="f"/>
              <v:textbox inset="0mm,0mm,0mm,0mm" style="mso-fit-shape-to-text:t;">
                <w:txbxContent>
                  <w:p>
                    <w:pPr>
                      <w:pStyle w:val="10"/>
                      <w:ind w:firstLine="280" w:firstLineChars="100"/>
                      <w:rPr>
                        <w:rStyle w:val="22"/>
                        <w:rFonts w:hint="eastAsia" w:ascii="宋体" w:hAnsi="宋体"/>
                        <w:sz w:val="28"/>
                        <w:szCs w:val="28"/>
                      </w:rPr>
                    </w:pPr>
                    <w:r>
                      <w:rPr>
                        <w:rStyle w:val="22"/>
                        <w:rFonts w:hint="eastAsia" w:ascii="宋体" w:hAnsi="宋体"/>
                        <w:sz w:val="28"/>
                        <w:szCs w:val="28"/>
                      </w:rPr>
                      <w:t xml:space="preserve">— </w:t>
                    </w: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8</w:t>
                    </w:r>
                    <w:r>
                      <w:rPr>
                        <w:rFonts w:ascii="宋体" w:hAnsi="宋体"/>
                        <w:sz w:val="28"/>
                        <w:szCs w:val="28"/>
                      </w:rPr>
                      <w:fldChar w:fldCharType="end"/>
                    </w:r>
                    <w:r>
                      <w:rPr>
                        <w:rStyle w:val="22"/>
                        <w:rFonts w:hint="eastAsia" w:ascii="宋体" w:hAnsi="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4"/>
      </w:rPr>
    </w:pPr>
    <w:r>
      <w:rPr>
        <w:sz w:val="24"/>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83" o:spid="_x0000_s1026" o:spt="202" type="#_x0000_t202" style="position:absolute;left:0pt;margin-top:0pt;height:144pt;width:144pt;mso-position-horizontal:right;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AGBfFyQEAAJsDAAAOAAAAAAAAAAEAIAAAAB4BAABkcnMvZTJvRG9j&#10;LnhtbFBLBQYAAAAABgAGAFkBAABZBQ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br w:type="textWrapping"/>
    </w:r>
    <w:r>
      <w:rPr>
        <w:sz w:val="18"/>
      </w:rPr>
      <mc:AlternateContent>
        <mc:Choice Requires="wps">
          <w:drawing>
            <wp:anchor distT="0" distB="0" distL="114300" distR="114300" simplePos="0" relativeHeight="251676672"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ind w:firstLine="280" w:firstLineChars="100"/>
                            <w:rPr>
                              <w:rStyle w:val="22"/>
                              <w:rFonts w:hint="eastAsia" w:ascii="宋体" w:hAnsi="宋体"/>
                              <w:sz w:val="28"/>
                              <w:szCs w:val="28"/>
                            </w:rPr>
                          </w:pPr>
                          <w:r>
                            <w:rPr>
                              <w:rStyle w:val="22"/>
                              <w:rFonts w:hint="eastAsia" w:ascii="宋体" w:hAnsi="宋体"/>
                              <w:sz w:val="28"/>
                              <w:szCs w:val="28"/>
                            </w:rPr>
                            <w:t xml:space="preserve">— </w:t>
                          </w: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8</w:t>
                          </w:r>
                          <w:r>
                            <w:rPr>
                              <w:rFonts w:ascii="宋体" w:hAnsi="宋体"/>
                              <w:sz w:val="28"/>
                              <w:szCs w:val="28"/>
                            </w:rPr>
                            <w:fldChar w:fldCharType="end"/>
                          </w:r>
                          <w:r>
                            <w:rPr>
                              <w:rStyle w:val="22"/>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4" o:spid="_x0000_s1026" o:spt="202" type="#_x0000_t202" style="position:absolute;left:0pt;margin-top:0pt;height:144pt;width:144pt;mso-position-horizontal:right;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zRMtcgBAACb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wE3Dujluc+OX7t8uPX5efX0n9&#10;Mgs0BGgw7z5gZhrf+BGTFz+gM/MeVbT5i4wIxlHe81VeOSYi8qN6XdcVhgTGlgvis4fnIUJ6K70l&#10;2WhpxPkVWfnpPaQpdUnJ1Zy/08aUGRr3lwMxs4fl3qces5XG/TgT2vvujHwGHH1LHW46JeadQ2Xz&#10;lixGXIz9YhxD1Ie+rFGuB+H1MWETpbdcYYKdC+PMCrt5v/JS/HkvWQ//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80TLXIAQAAmwMAAA4AAAAAAAAAAQAgAAAAHgEAAGRycy9lMm9Eb2Mu&#10;eG1sUEsFBgAAAAAGAAYAWQEAAFgFAAAAAA==&#10;">
              <v:fill on="f" focussize="0,0"/>
              <v:stroke on="f"/>
              <v:imagedata o:title=""/>
              <o:lock v:ext="edit" aspectratio="f"/>
              <v:textbox inset="0mm,0mm,0mm,0mm" style="mso-fit-shape-to-text:t;">
                <w:txbxContent>
                  <w:p>
                    <w:pPr>
                      <w:pStyle w:val="10"/>
                      <w:ind w:firstLine="280" w:firstLineChars="100"/>
                      <w:rPr>
                        <w:rStyle w:val="22"/>
                        <w:rFonts w:hint="eastAsia" w:ascii="宋体" w:hAnsi="宋体"/>
                        <w:sz w:val="28"/>
                        <w:szCs w:val="28"/>
                      </w:rPr>
                    </w:pPr>
                    <w:r>
                      <w:rPr>
                        <w:rStyle w:val="22"/>
                        <w:rFonts w:hint="eastAsia" w:ascii="宋体" w:hAnsi="宋体"/>
                        <w:sz w:val="28"/>
                        <w:szCs w:val="28"/>
                      </w:rPr>
                      <w:t xml:space="preserve">— </w:t>
                    </w: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8</w:t>
                    </w:r>
                    <w:r>
                      <w:rPr>
                        <w:rFonts w:ascii="宋体" w:hAnsi="宋体"/>
                        <w:sz w:val="28"/>
                        <w:szCs w:val="28"/>
                      </w:rPr>
                      <w:fldChar w:fldCharType="end"/>
                    </w:r>
                    <w:r>
                      <w:rPr>
                        <w:rStyle w:val="22"/>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jc w:val="right"/>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78720" behindDoc="0" locked="0" layoutInCell="1" allowOverlap="1">
              <wp:simplePos x="0" y="0"/>
              <wp:positionH relativeFrom="margin">
                <wp:posOffset>-325755</wp:posOffset>
              </wp:positionH>
              <wp:positionV relativeFrom="paragraph">
                <wp:posOffset>164465</wp:posOffset>
              </wp:positionV>
              <wp:extent cx="121285" cy="1828800"/>
              <wp:effectExtent l="0" t="0" r="0" b="0"/>
              <wp:wrapNone/>
              <wp:docPr id="20" name="文本框 87"/>
              <wp:cNvGraphicFramePr/>
              <a:graphic xmlns:a="http://schemas.openxmlformats.org/drawingml/2006/main">
                <a:graphicData uri="http://schemas.microsoft.com/office/word/2010/wordprocessingShape">
                  <wps:wsp>
                    <wps:cNvSpPr txBox="1"/>
                    <wps:spPr>
                      <a:xfrm rot="-1620000">
                        <a:off x="0" y="0"/>
                        <a:ext cx="121285" cy="1828800"/>
                      </a:xfrm>
                      <a:prstGeom prst="rect">
                        <a:avLst/>
                      </a:prstGeom>
                      <a:noFill/>
                      <a:ln w="6350">
                        <a:noFill/>
                      </a:ln>
                    </wps:spPr>
                    <wps:txbx>
                      <w:txbxContent>
                        <w:p>
                          <w:pPr>
                            <w:pStyle w:val="11"/>
                            <w:rPr>
                              <w:rFonts w:hint="default" w:eastAsiaTheme="minorEastAsia"/>
                              <w:lang w:val="en-US" w:eastAsia="zh-CN"/>
                            </w:rPr>
                          </w:pPr>
                          <w:r>
                            <w:rPr>
                              <w:rFonts w:hint="eastAsia"/>
                              <w:lang w:val="en-US" w:eastAsia="zh-CN"/>
                            </w:rPr>
                            <w:t xml:space="preserve">  </w:t>
                          </w:r>
                        </w:p>
                      </w:txbxContent>
                    </wps:txbx>
                    <wps:bodyPr lIns="0" tIns="0" rIns="0" bIns="0" upright="1">
                      <a:spAutoFit/>
                    </wps:bodyPr>
                  </wps:wsp>
                </a:graphicData>
              </a:graphic>
            </wp:anchor>
          </w:drawing>
        </mc:Choice>
        <mc:Fallback>
          <w:pict>
            <v:shape id="文本框 87" o:spid="_x0000_s1026" o:spt="202" type="#_x0000_t202" style="position:absolute;left:0pt;margin-left:-25.65pt;margin-top:12.95pt;height:144pt;width:9.55pt;mso-position-horizontal-relative:margin;rotation:-1769472f;z-index:251678720;mso-width-relative:page;mso-height-relative:page;" filled="f" stroked="f" coordsize="21600,21600" o:gfxdata="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9ykk9oAAAAKAQAADwAAAAAA&#10;AAABACAAAAAiAAAAZHJzL2Rvd25yZXYueG1sUEsBAhQAFAAAAAgAh07iQFtmOMPYAQAApgMAAA4A&#10;AAAAAAAAAQAgAAAAKQEAAGRycy9lMm9Eb2MueG1sUEsFBgAAAAAGAAYAWQEAAHMFAAAAAA==&#10;">
              <v:fill on="f" focussize="0,0"/>
              <v:stroke on="f" weight="0.5pt"/>
              <v:imagedata o:title=""/>
              <o:lock v:ext="edit" aspectratio="f"/>
              <v:textbox inset="0mm,0mm,0mm,0mm" style="mso-fit-shape-to-text:t;">
                <w:txbxContent>
                  <w:p>
                    <w:pPr>
                      <w:pStyle w:val="11"/>
                      <w:rPr>
                        <w:rFonts w:hint="default" w:eastAsiaTheme="minorEastAsia"/>
                        <w:lang w:val="en-US" w:eastAsia="zh-CN"/>
                      </w:rPr>
                    </w:pPr>
                    <w:r>
                      <w:rPr>
                        <w:rFonts w:hint="eastAsia"/>
                        <w:lang w:val="en-US" w:eastAsia="zh-CN"/>
                      </w:rPr>
                      <w:t xml:space="preserve">  </w:t>
                    </w:r>
                  </w:p>
                </w:txbxContent>
              </v:textbox>
            </v:shape>
          </w:pict>
        </mc:Fallback>
      </mc:AlternateContent>
    </w:r>
    <w:r>
      <w:rPr>
        <w:rFonts w:hint="eastAsia" w:ascii="楷体" w:hAnsi="楷体" w:eastAsia="楷体" w:cs="楷体"/>
        <w:sz w:val="24"/>
        <w:lang w:eastAsia="zh-CN"/>
      </w:rPr>
      <w:t>区政府办公室文件</w:t>
    </w:r>
  </w:p>
  <w:p>
    <w:pPr>
      <w:pStyle w:val="11"/>
      <w:rPr>
        <w:rFonts w:hint="eastAsia"/>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jc w:val="right"/>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1"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hfO06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FYXztOgIAAHEEAAAOAAAAAAAAAAEAIAAAAB8BAABkcnMvZTJvRG9j&#10;LnhtbFBLBQYAAAAABgAGAFkBAADLBQAAAAA=&#10;">
              <v:fill on="f" focussize="0,0"/>
              <v:stroke on="f" weight="0.5pt"/>
              <v:imagedata o:title=""/>
              <o:lock v:ext="edit" aspectratio="f"/>
              <v:textbox inset="0mm,0mm,0mm,0mm" style="mso-fit-shape-to-text:t;">
                <w:txbxContent>
                  <w:p>
                    <w:pPr>
                      <w:pStyle w:val="11"/>
                    </w:pPr>
                  </w:p>
                </w:txbxContent>
              </v:textbox>
            </v:shape>
          </w:pict>
        </mc:Fallback>
      </mc:AlternateContent>
    </w:r>
    <w:r>
      <w:rPr>
        <w:rFonts w:hint="eastAsia" w:ascii="楷体" w:hAnsi="楷体" w:eastAsia="楷体" w:cs="楷体"/>
        <w:sz w:val="24"/>
        <w:lang w:eastAsia="zh-CN"/>
      </w:rPr>
      <w:t>政务动态</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jc w:val="both"/>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81792" behindDoc="0" locked="0" layoutInCell="1" allowOverlap="1">
              <wp:simplePos x="0" y="0"/>
              <wp:positionH relativeFrom="margin">
                <wp:posOffset>-325755</wp:posOffset>
              </wp:positionH>
              <wp:positionV relativeFrom="paragraph">
                <wp:posOffset>164465</wp:posOffset>
              </wp:positionV>
              <wp:extent cx="121285" cy="1828800"/>
              <wp:effectExtent l="0" t="0" r="0" b="0"/>
              <wp:wrapNone/>
              <wp:docPr id="25" name="文本框 93"/>
              <wp:cNvGraphicFramePr/>
              <a:graphic xmlns:a="http://schemas.openxmlformats.org/drawingml/2006/main">
                <a:graphicData uri="http://schemas.microsoft.com/office/word/2010/wordprocessingShape">
                  <wps:wsp>
                    <wps:cNvSpPr txBox="1"/>
                    <wps:spPr>
                      <a:xfrm rot="-1620000">
                        <a:off x="0" y="0"/>
                        <a:ext cx="121285" cy="1828800"/>
                      </a:xfrm>
                      <a:prstGeom prst="rect">
                        <a:avLst/>
                      </a:prstGeom>
                      <a:noFill/>
                      <a:ln w="6350">
                        <a:noFill/>
                      </a:ln>
                    </wps:spPr>
                    <wps:txbx>
                      <w:txbxContent>
                        <w:p>
                          <w:pPr>
                            <w:pStyle w:val="11"/>
                            <w:rPr>
                              <w:rFonts w:hint="default" w:eastAsiaTheme="minorEastAsia"/>
                              <w:lang w:val="en-US" w:eastAsia="zh-CN"/>
                            </w:rPr>
                          </w:pPr>
                          <w:r>
                            <w:rPr>
                              <w:rFonts w:hint="eastAsia"/>
                              <w:lang w:val="en-US" w:eastAsia="zh-CN"/>
                            </w:rPr>
                            <w:t xml:space="preserve">  </w:t>
                          </w:r>
                        </w:p>
                      </w:txbxContent>
                    </wps:txbx>
                    <wps:bodyPr lIns="0" tIns="0" rIns="0" bIns="0" upright="1">
                      <a:spAutoFit/>
                    </wps:bodyPr>
                  </wps:wsp>
                </a:graphicData>
              </a:graphic>
            </wp:anchor>
          </w:drawing>
        </mc:Choice>
        <mc:Fallback>
          <w:pict>
            <v:shape id="文本框 93" o:spid="_x0000_s1026" o:spt="202" type="#_x0000_t202" style="position:absolute;left:0pt;margin-left:-25.65pt;margin-top:12.95pt;height:144pt;width:9.55pt;mso-position-horizontal-relative:margin;rotation:-1769472f;z-index:251681792;mso-width-relative:page;mso-height-relative:page;" filled="f" stroked="f" coordsize="21600,21600" o:gfxdata="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vcpJPaAAAACgEAAA8AAAAA&#10;AAAAAQAgAAAAIgAAAGRycy9kb3ducmV2LnhtbFBLAQIUABQAAAAIAIdO4kDCvPjk2QEAAKYDAAAO&#10;AAAAAAAAAAEAIAAAACkBAABkcnMvZTJvRG9jLnhtbFBLBQYAAAAABgAGAFkBAAB0BQAAAAA=&#10;">
              <v:fill on="f" focussize="0,0"/>
              <v:stroke on="f" weight="0.5pt"/>
              <v:imagedata o:title=""/>
              <o:lock v:ext="edit" aspectratio="f"/>
              <v:textbox inset="0mm,0mm,0mm,0mm" style="mso-fit-shape-to-text:t;">
                <w:txbxContent>
                  <w:p>
                    <w:pPr>
                      <w:pStyle w:val="11"/>
                      <w:rPr>
                        <w:rFonts w:hint="default" w:eastAsiaTheme="minorEastAsia"/>
                        <w:lang w:val="en-US" w:eastAsia="zh-CN"/>
                      </w:rPr>
                    </w:pPr>
                    <w:r>
                      <w:rPr>
                        <w:rFonts w:hint="eastAsia"/>
                        <w:lang w:val="en-US" w:eastAsia="zh-CN"/>
                      </w:rPr>
                      <w:t xml:space="preserve">  </w:t>
                    </w:r>
                  </w:p>
                </w:txbxContent>
              </v:textbox>
            </v:shape>
          </w:pict>
        </mc:Fallback>
      </mc:AlternateContent>
    </w:r>
    <w:r>
      <w:rPr>
        <w:rFonts w:hint="eastAsia" w:ascii="楷体" w:hAnsi="楷体" w:eastAsia="楷体" w:cs="楷体"/>
        <w:sz w:val="24"/>
        <w:lang w:eastAsia="zh-CN"/>
      </w:rPr>
      <w:t>政务动态</w:t>
    </w:r>
  </w:p>
  <w:p>
    <w:pPr>
      <w:pStyle w:val="11"/>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38" w:firstLineChars="66"/>
      <w:jc w:val="left"/>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tabs>
        <w:tab w:val="right" w:pos="9740"/>
        <w:tab w:val="clear" w:pos="4153"/>
        <w:tab w:val="clear" w:pos="8306"/>
      </w:tabs>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66432" behindDoc="0" locked="0" layoutInCell="1" allowOverlap="1">
              <wp:simplePos x="0" y="0"/>
              <wp:positionH relativeFrom="margin">
                <wp:posOffset>6068060</wp:posOffset>
              </wp:positionH>
              <wp:positionV relativeFrom="paragraph">
                <wp:posOffset>0</wp:posOffset>
              </wp:positionV>
              <wp:extent cx="58420" cy="1651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Bdr>
                              <w:left w:val="none" w:color="auto" w:sz="0" w:space="14"/>
                            </w:pBd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77.8pt;margin-top:0pt;height:13pt;width:4.6pt;mso-position-horizontal-relative:margin;mso-wrap-style:none;z-index:251666432;mso-width-relative:page;mso-height-relative:page;" filled="f" stroked="f" coordsize="21600,21600" o:gfxdata="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jn6vNUAAAAHAQAADwAAAAAAAAABACAAAAAiAAAAZHJzL2Rvd25yZXYu&#10;eG1sUEsBAhQAFAAAAAgAh07iQBR89qo3AgAAbwQAAA4AAAAAAAAAAQAgAAAAJAEAAGRycy9lMm9E&#10;b2MueG1sUEsFBgAAAAAGAAYAWQEAAM0FAAAAAA==&#10;">
              <v:fill on="f" focussize="0,0"/>
              <v:stroke on="f" weight="0.5pt"/>
              <v:imagedata o:title=""/>
              <o:lock v:ext="edit" aspectratio="f"/>
              <v:textbox inset="0mm,0mm,0mm,0mm" style="mso-fit-shape-to-text:t;">
                <w:txbxContent>
                  <w:p>
                    <w:pPr>
                      <w:pStyle w:val="11"/>
                      <w:pBdr>
                        <w:left w:val="none" w:color="auto" w:sz="0" w:space="14"/>
                      </w:pBdr>
                    </w:pPr>
                  </w:p>
                </w:txbxContent>
              </v:textbox>
            </v:shape>
          </w:pict>
        </mc:Fallback>
      </mc:AlternateContent>
    </w:r>
    <w:r>
      <w:rPr>
        <w:rFonts w:ascii="楷体" w:hAnsi="楷体" w:eastAsia="楷体" w:cs="楷体"/>
        <w:sz w:val="24"/>
      </w:rPr>
      <w:tab/>
    </w:r>
  </w:p>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hint="eastAsia" w:ascii="楷体" w:hAnsi="楷体" w:eastAsia="楷体" w:cs="楷体"/>
        <w:sz w:val="24"/>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11"/>
                    </w:pPr>
                  </w:p>
                </w:txbxContent>
              </v:textbox>
            </v:shape>
          </w:pict>
        </mc:Fallback>
      </mc:AlternateContent>
    </w:r>
    <w:r>
      <w:rPr>
        <w:rFonts w:hint="eastAsia" w:ascii="楷体" w:hAnsi="楷体" w:eastAsia="楷体" w:cs="楷体"/>
        <w:sz w:val="24"/>
        <w:lang w:eastAsia="zh-CN"/>
      </w:rPr>
      <w:t>区政府办公室文件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pPr>
                      <w:pStyle w:val="11"/>
                    </w:pPr>
                  </w:p>
                </w:txbxContent>
              </v:textbox>
            </v:shape>
          </w:pict>
        </mc:Fallback>
      </mc:AlternateContent>
    </w:r>
    <w:r>
      <w:rPr>
        <w:rFonts w:hint="eastAsia" w:ascii="楷体" w:hAnsi="楷体" w:eastAsia="楷体" w:cs="楷体"/>
        <w:sz w:val="24"/>
        <w:szCs w:val="40"/>
        <w:lang w:eastAsia="zh-CN"/>
      </w:rPr>
      <w:t>区政府办公室文件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1"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QVo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eUFaLOgIAAHEEAAAOAAAAAAAAAAEAIAAAAB8BAABkcnMvZTJvRG9j&#10;LnhtbFBLBQYAAAAABgAGAFkBAADLBQAAAAA=&#10;">
              <v:fill on="f" focussize="0,0"/>
              <v:stroke on="f" weight="0.5pt"/>
              <v:imagedata o:title=""/>
              <o:lock v:ext="edit" aspectratio="f"/>
              <v:textbox inset="0mm,0mm,0mm,0mm" style="mso-fit-shape-to-text:t;">
                <w:txbxContent>
                  <w:p>
                    <w:pPr>
                      <w:pStyle w:val="11"/>
                    </w:pPr>
                  </w:p>
                </w:txbxContent>
              </v:textbox>
            </v:shape>
          </w:pict>
        </mc:Fallback>
      </mc:AlternateContent>
    </w:r>
    <w:r>
      <w:rPr>
        <w:rFonts w:hint="eastAsia" w:ascii="楷体" w:hAnsi="楷体" w:eastAsia="楷体" w:cs="楷体"/>
        <w:sz w:val="24"/>
        <w:lang w:eastAsia="zh-CN"/>
      </w:rPr>
      <w:t>区政府办公室文件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7B185"/>
    <w:multiLevelType w:val="singleLevel"/>
    <w:tmpl w:val="EFD7B185"/>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0Y2FhMDcwMWU1NjI2ODY5ZDBjOWY4YjIyYmZkOTEifQ=="/>
    <w:docVar w:name="KSO_WPS_MARK_KEY" w:val="3ca85438-0500-4b11-afd0-272f54dda052"/>
  </w:docVars>
  <w:rsids>
    <w:rsidRoot w:val="00C331AD"/>
    <w:rsid w:val="00070C5D"/>
    <w:rsid w:val="000B2434"/>
    <w:rsid w:val="000C7F21"/>
    <w:rsid w:val="00113884"/>
    <w:rsid w:val="001935C6"/>
    <w:rsid w:val="001979B3"/>
    <w:rsid w:val="001C198C"/>
    <w:rsid w:val="002507A2"/>
    <w:rsid w:val="004078A5"/>
    <w:rsid w:val="0047481C"/>
    <w:rsid w:val="004F5376"/>
    <w:rsid w:val="00513FA8"/>
    <w:rsid w:val="005F366D"/>
    <w:rsid w:val="00632DAD"/>
    <w:rsid w:val="006B30A2"/>
    <w:rsid w:val="00757DF6"/>
    <w:rsid w:val="0082408D"/>
    <w:rsid w:val="009865C1"/>
    <w:rsid w:val="00A4150D"/>
    <w:rsid w:val="00A533FF"/>
    <w:rsid w:val="00AE1A5F"/>
    <w:rsid w:val="00B345ED"/>
    <w:rsid w:val="00B75CCD"/>
    <w:rsid w:val="00BC1B64"/>
    <w:rsid w:val="00C331AD"/>
    <w:rsid w:val="00C36DAC"/>
    <w:rsid w:val="00C974E9"/>
    <w:rsid w:val="00CB0E40"/>
    <w:rsid w:val="00E34881"/>
    <w:rsid w:val="00EE6BF4"/>
    <w:rsid w:val="00EF5CFA"/>
    <w:rsid w:val="00F55F46"/>
    <w:rsid w:val="00F578B7"/>
    <w:rsid w:val="00F763CE"/>
    <w:rsid w:val="00FD0736"/>
    <w:rsid w:val="01CA18D2"/>
    <w:rsid w:val="022B0F19"/>
    <w:rsid w:val="035427FA"/>
    <w:rsid w:val="04AF6F74"/>
    <w:rsid w:val="04E821AA"/>
    <w:rsid w:val="05E80E12"/>
    <w:rsid w:val="0A053062"/>
    <w:rsid w:val="0AB56D90"/>
    <w:rsid w:val="0D4869A1"/>
    <w:rsid w:val="0DE34399"/>
    <w:rsid w:val="0F575C2A"/>
    <w:rsid w:val="10392996"/>
    <w:rsid w:val="113217E0"/>
    <w:rsid w:val="13665CF9"/>
    <w:rsid w:val="16BD2D87"/>
    <w:rsid w:val="1A5348A7"/>
    <w:rsid w:val="1B22309D"/>
    <w:rsid w:val="1B424ADC"/>
    <w:rsid w:val="1B5D67D0"/>
    <w:rsid w:val="1C9457A5"/>
    <w:rsid w:val="1D2151DC"/>
    <w:rsid w:val="1D6D4435"/>
    <w:rsid w:val="1DE54342"/>
    <w:rsid w:val="216533DF"/>
    <w:rsid w:val="21CB0B93"/>
    <w:rsid w:val="221C1533"/>
    <w:rsid w:val="223B63AD"/>
    <w:rsid w:val="22FC3CC3"/>
    <w:rsid w:val="23AA0EFD"/>
    <w:rsid w:val="23C12633"/>
    <w:rsid w:val="247578BD"/>
    <w:rsid w:val="27164CA8"/>
    <w:rsid w:val="289C2917"/>
    <w:rsid w:val="2A373FFE"/>
    <w:rsid w:val="2B66528F"/>
    <w:rsid w:val="2C29284E"/>
    <w:rsid w:val="2C4B3E88"/>
    <w:rsid w:val="2C947940"/>
    <w:rsid w:val="2D8F46B0"/>
    <w:rsid w:val="3034614E"/>
    <w:rsid w:val="30DC4FC6"/>
    <w:rsid w:val="3202725A"/>
    <w:rsid w:val="3316226B"/>
    <w:rsid w:val="33E40064"/>
    <w:rsid w:val="34604F1D"/>
    <w:rsid w:val="363E7C79"/>
    <w:rsid w:val="37423926"/>
    <w:rsid w:val="37CE388A"/>
    <w:rsid w:val="3915103F"/>
    <w:rsid w:val="394F0CC5"/>
    <w:rsid w:val="3AD951C1"/>
    <w:rsid w:val="3E2C1B98"/>
    <w:rsid w:val="3E9F2D5B"/>
    <w:rsid w:val="3F150CA9"/>
    <w:rsid w:val="3F19380F"/>
    <w:rsid w:val="3FD45B34"/>
    <w:rsid w:val="41C042B4"/>
    <w:rsid w:val="43405AA0"/>
    <w:rsid w:val="43D01CFC"/>
    <w:rsid w:val="453D1C04"/>
    <w:rsid w:val="470B6133"/>
    <w:rsid w:val="474A22DE"/>
    <w:rsid w:val="4A1B6ABD"/>
    <w:rsid w:val="4A6F51E7"/>
    <w:rsid w:val="4C642672"/>
    <w:rsid w:val="527C11E4"/>
    <w:rsid w:val="530C4E64"/>
    <w:rsid w:val="530F3135"/>
    <w:rsid w:val="54DB3A8C"/>
    <w:rsid w:val="564E344F"/>
    <w:rsid w:val="59440008"/>
    <w:rsid w:val="59DC38F4"/>
    <w:rsid w:val="5A202B08"/>
    <w:rsid w:val="5B227780"/>
    <w:rsid w:val="5BDB7A2A"/>
    <w:rsid w:val="5C13654C"/>
    <w:rsid w:val="5DA95F03"/>
    <w:rsid w:val="5EA16081"/>
    <w:rsid w:val="5FAB5EBF"/>
    <w:rsid w:val="60FF3B12"/>
    <w:rsid w:val="618276FA"/>
    <w:rsid w:val="61CF7137"/>
    <w:rsid w:val="62E04C26"/>
    <w:rsid w:val="655C2E84"/>
    <w:rsid w:val="68717953"/>
    <w:rsid w:val="6ADF5585"/>
    <w:rsid w:val="6B270778"/>
    <w:rsid w:val="6B9D5970"/>
    <w:rsid w:val="6C695946"/>
    <w:rsid w:val="6D4A722B"/>
    <w:rsid w:val="6DCB2EE3"/>
    <w:rsid w:val="6DDB7D5E"/>
    <w:rsid w:val="6DE46689"/>
    <w:rsid w:val="6E0B5463"/>
    <w:rsid w:val="6EA45239"/>
    <w:rsid w:val="712C27CA"/>
    <w:rsid w:val="71AB5682"/>
    <w:rsid w:val="741914B9"/>
    <w:rsid w:val="74550BCE"/>
    <w:rsid w:val="757E4AAC"/>
    <w:rsid w:val="76BF2039"/>
    <w:rsid w:val="775C20C1"/>
    <w:rsid w:val="777A1A52"/>
    <w:rsid w:val="78CD45AA"/>
    <w:rsid w:val="79E25F5E"/>
    <w:rsid w:val="7A7638E6"/>
    <w:rsid w:val="7BB85963"/>
    <w:rsid w:val="7D085BBD"/>
    <w:rsid w:val="7ECE23FD"/>
    <w:rsid w:val="7F73644D"/>
    <w:rsid w:val="7F905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widowControl/>
      <w:spacing w:before="100" w:beforeAutospacing="1" w:after="100" w:afterAutospacing="1"/>
      <w:jc w:val="left"/>
    </w:pPr>
    <w:rPr>
      <w:rFonts w:ascii="宋体" w:hAnsi="宋体" w:cs="宋体"/>
      <w:kern w:val="0"/>
      <w:sz w:val="24"/>
    </w:rPr>
  </w:style>
  <w:style w:type="paragraph" w:styleId="4">
    <w:name w:val="Body Text First Indent"/>
    <w:basedOn w:val="3"/>
    <w:qFormat/>
    <w:uiPriority w:val="0"/>
    <w:pPr>
      <w:ind w:firstLine="420" w:firstLineChars="100"/>
    </w:pPr>
  </w:style>
  <w:style w:type="paragraph" w:styleId="5">
    <w:name w:val="Body Text Indent"/>
    <w:basedOn w:val="1"/>
    <w:next w:val="1"/>
    <w:unhideWhenUsed/>
    <w:qFormat/>
    <w:uiPriority w:val="99"/>
    <w:pPr>
      <w:spacing w:after="120"/>
      <w:ind w:left="420" w:leftChars="200"/>
    </w:pPr>
  </w:style>
  <w:style w:type="paragraph" w:styleId="6">
    <w:name w:val="toc 5"/>
    <w:basedOn w:val="1"/>
    <w:next w:val="1"/>
    <w:qFormat/>
    <w:uiPriority w:val="0"/>
    <w:pPr>
      <w:ind w:left="1680" w:leftChars="800"/>
    </w:pPr>
    <w:rPr>
      <w:rFonts w:ascii="Times New Roman" w:hAnsi="Times New Roman"/>
      <w:szCs w:val="21"/>
    </w:rPr>
  </w:style>
  <w:style w:type="paragraph" w:styleId="7">
    <w:name w:val="Plain Text"/>
    <w:basedOn w:val="1"/>
    <w:qFormat/>
    <w:uiPriority w:val="0"/>
    <w:rPr>
      <w:rFonts w:ascii="宋体" w:hAnsi="Courier New" w:cs="Courier New"/>
      <w:szCs w:val="21"/>
    </w:rPr>
  </w:style>
  <w:style w:type="paragraph" w:styleId="8">
    <w:name w:val="Body Text Indent 2"/>
    <w:basedOn w:val="1"/>
    <w:link w:val="34"/>
    <w:qFormat/>
    <w:uiPriority w:val="0"/>
    <w:pPr>
      <w:spacing w:after="120" w:line="480" w:lineRule="auto"/>
      <w:ind w:left="420" w:leftChars="200"/>
    </w:pPr>
    <w:rPr>
      <w:rFonts w:ascii="Calibri" w:hAnsi="Calibri" w:eastAsia="宋体" w:cs="黑体"/>
    </w:rPr>
  </w:style>
  <w:style w:type="paragraph" w:styleId="9">
    <w:name w:val="Balloon Text"/>
    <w:basedOn w:val="1"/>
    <w:link w:val="33"/>
    <w:qFormat/>
    <w:uiPriority w:val="0"/>
    <w:rPr>
      <w:sz w:val="18"/>
      <w:szCs w:val="18"/>
    </w:r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2"/>
    <w:basedOn w:val="1"/>
    <w:next w:val="1"/>
    <w:qFormat/>
    <w:uiPriority w:val="0"/>
    <w:pPr>
      <w:ind w:left="420" w:leftChars="200"/>
    </w:pPr>
    <w:rPr>
      <w:rFonts w:ascii="Times New Roman" w:hAnsi="Times New Roman" w:cs="黑体"/>
    </w:rPr>
  </w:style>
  <w:style w:type="paragraph" w:styleId="13">
    <w:name w:val="Body Text 2"/>
    <w:basedOn w:val="1"/>
    <w:qFormat/>
    <w:uiPriority w:val="0"/>
    <w:pPr>
      <w:spacing w:after="120" w:line="480" w:lineRule="auto"/>
    </w:pPr>
    <w:rPr>
      <w:rFonts w:ascii="Times New Roman" w:hAnsi="Times New Roman"/>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100" w:beforeAutospacing="1" w:after="100" w:afterAutospacing="1"/>
      <w:jc w:val="left"/>
    </w:pPr>
    <w:rPr>
      <w:rFonts w:ascii="Calibri" w:hAnsi="Calibri"/>
      <w:kern w:val="0"/>
      <w:sz w:val="24"/>
    </w:rPr>
  </w:style>
  <w:style w:type="paragraph" w:styleId="16">
    <w:name w:val="Title"/>
    <w:basedOn w:val="1"/>
    <w:qFormat/>
    <w:uiPriority w:val="0"/>
    <w:pPr>
      <w:spacing w:before="240" w:beforeAutospacing="0" w:after="60" w:afterAutospacing="0"/>
      <w:jc w:val="center"/>
      <w:outlineLvl w:val="0"/>
    </w:pPr>
    <w:rPr>
      <w:rFonts w:ascii="Arial" w:hAnsi="Arial"/>
      <w:b/>
      <w:sz w:val="32"/>
    </w:rPr>
  </w:style>
  <w:style w:type="paragraph" w:styleId="17">
    <w:name w:val="Body Text First Indent 2"/>
    <w:basedOn w:val="5"/>
    <w:next w:val="1"/>
    <w:unhideWhenUsed/>
    <w:qFormat/>
    <w:uiPriority w:val="99"/>
    <w:pPr>
      <w:ind w:firstLine="420" w:firstLineChars="2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rFonts w:ascii="Times New Roman" w:hAnsi="Times New Roman" w:eastAsia="宋体" w:cs="Times New Roman"/>
      <w:b/>
    </w:rPr>
  </w:style>
  <w:style w:type="character" w:styleId="22">
    <w:name w:val="page number"/>
    <w:basedOn w:val="20"/>
    <w:qFormat/>
    <w:uiPriority w:val="0"/>
  </w:style>
  <w:style w:type="character" w:styleId="23">
    <w:name w:val="Hyperlink"/>
    <w:basedOn w:val="20"/>
    <w:semiHidden/>
    <w:unhideWhenUsed/>
    <w:qFormat/>
    <w:uiPriority w:val="99"/>
    <w:rPr>
      <w:color w:val="0000FF"/>
      <w:u w:val="single"/>
    </w:rPr>
  </w:style>
  <w:style w:type="paragraph" w:customStyle="1" w:styleId="24">
    <w:name w:val="引文目录标题1"/>
    <w:basedOn w:val="1"/>
    <w:next w:val="1"/>
    <w:qFormat/>
    <w:uiPriority w:val="0"/>
    <w:rPr>
      <w:rFonts w:ascii="Cambria" w:hAnsi="Cambria" w:cs="黑体"/>
      <w:sz w:val="24"/>
    </w:rPr>
  </w:style>
  <w:style w:type="paragraph" w:customStyle="1" w:styleId="25">
    <w:name w:val="Body text|1"/>
    <w:basedOn w:val="1"/>
    <w:qFormat/>
    <w:uiPriority w:val="0"/>
    <w:pPr>
      <w:spacing w:after="430" w:line="446" w:lineRule="auto"/>
      <w:ind w:firstLine="400"/>
    </w:pPr>
    <w:rPr>
      <w:rFonts w:ascii="宋体" w:hAnsi="宋体" w:eastAsia="宋体" w:cs="宋体"/>
      <w:sz w:val="28"/>
      <w:szCs w:val="28"/>
      <w:lang w:val="zh-TW" w:eastAsia="zh-TW" w:bidi="zh-TW"/>
    </w:rPr>
  </w:style>
  <w:style w:type="character" w:customStyle="1" w:styleId="26">
    <w:name w:val="font41"/>
    <w:basedOn w:val="20"/>
    <w:qFormat/>
    <w:uiPriority w:val="0"/>
    <w:rPr>
      <w:rFonts w:hint="default" w:ascii="Times New Roman" w:hAnsi="Times New Roman" w:cs="Times New Roman"/>
      <w:color w:val="000000"/>
      <w:sz w:val="16"/>
      <w:szCs w:val="16"/>
      <w:u w:val="none"/>
    </w:rPr>
  </w:style>
  <w:style w:type="character" w:customStyle="1" w:styleId="27">
    <w:name w:val="font51"/>
    <w:basedOn w:val="20"/>
    <w:qFormat/>
    <w:uiPriority w:val="0"/>
    <w:rPr>
      <w:rFonts w:hint="eastAsia" w:ascii="宋体" w:hAnsi="宋体" w:eastAsia="宋体" w:cs="宋体"/>
      <w:color w:val="000000"/>
      <w:sz w:val="16"/>
      <w:szCs w:val="16"/>
      <w:u w:val="none"/>
    </w:rPr>
  </w:style>
  <w:style w:type="character" w:customStyle="1" w:styleId="28">
    <w:name w:val="font31"/>
    <w:basedOn w:val="20"/>
    <w:qFormat/>
    <w:uiPriority w:val="0"/>
    <w:rPr>
      <w:rFonts w:hint="eastAsia" w:ascii="宋体" w:hAnsi="宋体" w:eastAsia="宋体" w:cs="宋体"/>
      <w:color w:val="FF0000"/>
      <w:sz w:val="16"/>
      <w:szCs w:val="16"/>
      <w:u w:val="none"/>
    </w:rPr>
  </w:style>
  <w:style w:type="character" w:customStyle="1" w:styleId="29">
    <w:name w:val="font61"/>
    <w:basedOn w:val="20"/>
    <w:qFormat/>
    <w:uiPriority w:val="0"/>
    <w:rPr>
      <w:rFonts w:hint="eastAsia" w:ascii="宋体" w:hAnsi="宋体" w:eastAsia="宋体" w:cs="宋体"/>
      <w:color w:val="000000"/>
      <w:sz w:val="20"/>
      <w:szCs w:val="20"/>
      <w:u w:val="none"/>
    </w:rPr>
  </w:style>
  <w:style w:type="character" w:customStyle="1" w:styleId="30">
    <w:name w:val="font01"/>
    <w:basedOn w:val="20"/>
    <w:qFormat/>
    <w:uiPriority w:val="0"/>
    <w:rPr>
      <w:rFonts w:hint="eastAsia" w:ascii="宋体" w:hAnsi="宋体" w:eastAsia="宋体" w:cs="宋体"/>
      <w:color w:val="333333"/>
      <w:sz w:val="20"/>
      <w:szCs w:val="20"/>
      <w:u w:val="none"/>
    </w:rPr>
  </w:style>
  <w:style w:type="character" w:customStyle="1" w:styleId="31">
    <w:name w:val="font11"/>
    <w:basedOn w:val="20"/>
    <w:qFormat/>
    <w:uiPriority w:val="0"/>
    <w:rPr>
      <w:rFonts w:hint="eastAsia" w:ascii="宋体" w:hAnsi="宋体" w:eastAsia="宋体" w:cs="宋体"/>
      <w:color w:val="000000"/>
      <w:sz w:val="20"/>
      <w:szCs w:val="20"/>
      <w:u w:val="none"/>
    </w:rPr>
  </w:style>
  <w:style w:type="paragraph" w:customStyle="1" w:styleId="32">
    <w:name w:val="WPSOffice手动目录 1"/>
    <w:basedOn w:val="1"/>
    <w:next w:val="17"/>
    <w:qFormat/>
    <w:uiPriority w:val="0"/>
    <w:pPr>
      <w:widowControl/>
      <w:jc w:val="left"/>
    </w:pPr>
    <w:rPr>
      <w:rFonts w:ascii="Times New Roman" w:hAnsi="Times New Roman" w:eastAsia="宋体" w:cs="Times New Roman"/>
      <w:kern w:val="0"/>
      <w:sz w:val="20"/>
      <w:szCs w:val="20"/>
    </w:rPr>
  </w:style>
  <w:style w:type="character" w:customStyle="1" w:styleId="33">
    <w:name w:val="批注框文本 Char"/>
    <w:basedOn w:val="20"/>
    <w:link w:val="9"/>
    <w:qFormat/>
    <w:uiPriority w:val="0"/>
    <w:rPr>
      <w:rFonts w:asciiTheme="minorHAnsi" w:hAnsiTheme="minorHAnsi" w:eastAsiaTheme="minorEastAsia" w:cstheme="minorBidi"/>
      <w:kern w:val="2"/>
      <w:sz w:val="18"/>
      <w:szCs w:val="18"/>
    </w:rPr>
  </w:style>
  <w:style w:type="character" w:customStyle="1" w:styleId="34">
    <w:name w:val="正文文本缩进 2 Char"/>
    <w:basedOn w:val="20"/>
    <w:link w:val="8"/>
    <w:qFormat/>
    <w:uiPriority w:val="0"/>
    <w:rPr>
      <w:rFonts w:ascii="Calibri" w:hAnsi="Calibri" w:cs="黑体"/>
      <w:kern w:val="2"/>
      <w:sz w:val="21"/>
      <w:szCs w:val="24"/>
    </w:rPr>
  </w:style>
  <w:style w:type="paragraph" w:customStyle="1" w:styleId="35">
    <w:name w:val="列出段落1"/>
    <w:basedOn w:val="1"/>
    <w:unhideWhenUsed/>
    <w:qFormat/>
    <w:uiPriority w:val="99"/>
    <w:pPr>
      <w:ind w:firstLine="420" w:firstLineChars="200"/>
    </w:pPr>
    <w:rPr>
      <w:rFonts w:ascii="Calibri" w:hAnsi="Calibri" w:eastAsia="宋体" w:cs="黑体"/>
    </w:rPr>
  </w:style>
  <w:style w:type="paragraph" w:customStyle="1" w:styleId="36">
    <w:name w:val="List Paragraph"/>
    <w:basedOn w:val="1"/>
    <w:unhideWhenUsed/>
    <w:qFormat/>
    <w:uiPriority w:val="99"/>
    <w:pPr>
      <w:ind w:firstLine="420" w:firstLineChars="200"/>
    </w:p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NormalIndent"/>
    <w:basedOn w:val="1"/>
    <w:qFormat/>
    <w:uiPriority w:val="0"/>
    <w:pPr>
      <w:ind w:firstLine="420" w:firstLineChars="200"/>
      <w:textAlignment w:val="baseline"/>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25189-E5EB-4380-BBFB-9D9925CF99B6}">
  <ds:schemaRefs/>
</ds:datastoreItem>
</file>

<file path=docProps/app.xml><?xml version="1.0" encoding="utf-8"?>
<Properties xmlns="http://schemas.openxmlformats.org/officeDocument/2006/extended-properties" xmlns:vt="http://schemas.openxmlformats.org/officeDocument/2006/docPropsVTypes">
  <Template>Normal</Template>
  <Pages>34</Pages>
  <Words>11793</Words>
  <Characters>12023</Characters>
  <Lines>82</Lines>
  <Paragraphs>23</Paragraphs>
  <TotalTime>13</TotalTime>
  <ScaleCrop>false</ScaleCrop>
  <LinksUpToDate>false</LinksUpToDate>
  <CharactersWithSpaces>12899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轩</cp:lastModifiedBy>
  <cp:lastPrinted>2023-11-28T06:45:00Z</cp:lastPrinted>
  <dcterms:modified xsi:type="dcterms:W3CDTF">2025-03-06T07:54:39Z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7515FC8F05CB4E00B1A42425254A641D_13</vt:lpwstr>
  </property>
</Properties>
</file>