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C71F">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7" cstate="print"/>
                    <a:stretch>
                      <a:fillRect/>
                    </a:stretch>
                  </pic:blipFill>
                  <pic:spPr>
                    <a:xfrm>
                      <a:off x="0" y="0"/>
                      <a:ext cx="2456815" cy="2456815"/>
                    </a:xfrm>
                    <a:prstGeom prst="rect">
                      <a:avLst/>
                    </a:prstGeom>
                  </pic:spPr>
                </pic:pic>
              </a:graphicData>
            </a:graphic>
          </wp:inline>
        </w:drawing>
      </w:r>
    </w:p>
    <w:p w14:paraId="117C687B"/>
    <w:p w14:paraId="527D0F0C">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14:paraId="743524CC">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14:paraId="743524CC">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14:paraId="46FF2998"/>
    <w:p w14:paraId="4E59333B"/>
    <w:p w14:paraId="30592610"/>
    <w:p w14:paraId="071AC4A0"/>
    <w:p w14:paraId="1856C12D">
      <w:pPr>
        <w:spacing w:line="400" w:lineRule="exact"/>
        <w:jc w:val="center"/>
        <w:rPr>
          <w:spacing w:val="34"/>
          <w:sz w:val="32"/>
          <w:szCs w:val="32"/>
        </w:rPr>
      </w:pPr>
    </w:p>
    <w:p w14:paraId="468DC70B">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14:paraId="65CC4E6E">
      <w:pPr>
        <w:spacing w:line="400" w:lineRule="exact"/>
        <w:jc w:val="center"/>
        <w:rPr>
          <w:b/>
          <w:bCs/>
          <w:spacing w:val="34"/>
          <w:sz w:val="32"/>
          <w:szCs w:val="32"/>
        </w:rPr>
      </w:pPr>
      <w:r>
        <w:rPr>
          <w:rFonts w:hint="eastAsia"/>
          <w:b/>
          <w:bCs/>
          <w:spacing w:val="34"/>
          <w:sz w:val="32"/>
          <w:szCs w:val="32"/>
        </w:rPr>
        <w:t>OF CHANGJIANG DISTRICT</w:t>
      </w:r>
    </w:p>
    <w:p w14:paraId="684CA1F4"/>
    <w:p w14:paraId="429C4CE8"/>
    <w:p w14:paraId="29CE1012"/>
    <w:p w14:paraId="4FFC8ADD"/>
    <w:p w14:paraId="696F3865"/>
    <w:p w14:paraId="6797EF98"/>
    <w:p w14:paraId="701208BA"/>
    <w:p w14:paraId="49BD5FF2"/>
    <w:p w14:paraId="14EE7C5B"/>
    <w:p w14:paraId="1A35DC90"/>
    <w:p w14:paraId="266AD430"/>
    <w:p w14:paraId="3BB5FBD7"/>
    <w:p w14:paraId="71422C13"/>
    <w:p w14:paraId="69DCF4F6">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8432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843280"/>
                        </a:xfrm>
                        <a:prstGeom prst="rect">
                          <a:avLst/>
                        </a:prstGeom>
                        <a:noFill/>
                        <a:ln w="6350">
                          <a:noFill/>
                        </a:ln>
                        <a:effectLst/>
                      </wps:spPr>
                      <wps:txbx>
                        <w:txbxContent>
                          <w:p w14:paraId="618CE770">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66.4pt;width:117.85pt;z-index:251660288;mso-width-relative:page;mso-height-relative:page;" filled="f" stroked="f" coordsize="21600,21600" o:gfxdata="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XvlrnbAAAACgEAAA8AAAAAAAAAAQAgAAAAIgAAAGRycy9kb3ducmV2LnhtbFBLAQIUABQA&#10;AAAIAIdO4kBMR/KH0QIAAI0FAAAOAAAAAAAAAAEAIAAAACoBAABkcnMvZTJvRG9jLnhtbFBLBQYA&#10;AAAABgAGAFkBAABtBgAAAAA=&#10;">
                <v:fill on="f" focussize="0,0"/>
                <v:stroke on="f" weight="0.5pt"/>
                <v:imagedata o:title=""/>
                <o:lock v:ext="edit" aspectratio="f"/>
                <v:textbox>
                  <w:txbxContent>
                    <w:p w14:paraId="618CE770">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5</w:t>
                      </w:r>
                    </w:p>
                  </w:txbxContent>
                </v:textbox>
              </v:shape>
            </w:pict>
          </mc:Fallback>
        </mc:AlternateContent>
      </w:r>
    </w:p>
    <w:p w14:paraId="3D4F371A"/>
    <w:p w14:paraId="60135BD6"/>
    <w:p w14:paraId="0EC506C8">
      <w:pPr>
        <w:jc w:val="center"/>
      </w:pPr>
    </w:p>
    <w:p w14:paraId="47E1F98C">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2</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27</w:t>
      </w:r>
      <w:r>
        <w:rPr>
          <w:rFonts w:hint="eastAsia" w:ascii="黑体" w:hAnsi="黑体" w:eastAsia="黑体" w:cs="黑体"/>
          <w:b/>
          <w:bCs/>
          <w:color w:val="FF0000"/>
          <w:sz w:val="32"/>
          <w:szCs w:val="32"/>
        </w:rPr>
        <w:t>期）</w:t>
      </w:r>
    </w:p>
    <w:p w14:paraId="5D5BB7A7">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14:paraId="01AA39E4">
      <w:pPr>
        <w:pStyle w:val="32"/>
        <w:spacing w:after="0" w:line="598" w:lineRule="exact"/>
        <w:ind w:firstLine="0"/>
        <w:jc w:val="center"/>
        <w:rPr>
          <w:b/>
          <w:bCs/>
          <w:color w:val="000000"/>
          <w:sz w:val="44"/>
          <w:szCs w:val="44"/>
          <w:lang w:eastAsia="zh-CN"/>
        </w:rPr>
      </w:pPr>
    </w:p>
    <w:p w14:paraId="64AAD576">
      <w:pPr>
        <w:pStyle w:val="32"/>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14:paraId="693BEE3D">
      <w:pPr>
        <w:tabs>
          <w:tab w:val="left" w:pos="8820"/>
        </w:tabs>
        <w:jc w:val="center"/>
        <w:rPr>
          <w:rFonts w:ascii="Times New Roman" w:hAnsi="Times New Roman" w:eastAsia="方正小标宋简体"/>
          <w:color w:val="000000"/>
          <w:spacing w:val="11"/>
          <w:sz w:val="51"/>
          <w:szCs w:val="51"/>
        </w:rPr>
      </w:pPr>
    </w:p>
    <w:p w14:paraId="0C432855">
      <w:pPr>
        <w:tabs>
          <w:tab w:val="left" w:pos="8820"/>
        </w:tabs>
        <w:jc w:val="center"/>
        <w:rPr>
          <w:rFonts w:ascii="Times New Roman" w:hAnsi="Times New Roman" w:eastAsia="方正小标宋简体"/>
          <w:color w:val="000000"/>
          <w:spacing w:val="11"/>
          <w:sz w:val="51"/>
          <w:szCs w:val="51"/>
        </w:rPr>
      </w:pPr>
    </w:p>
    <w:p w14:paraId="1132E0C6">
      <w:pPr>
        <w:tabs>
          <w:tab w:val="left" w:pos="8820"/>
        </w:tabs>
        <w:jc w:val="center"/>
        <w:rPr>
          <w:rFonts w:ascii="Times New Roman" w:hAnsi="Times New Roman" w:eastAsia="方正小标宋简体"/>
          <w:color w:val="000000"/>
          <w:spacing w:val="11"/>
          <w:sz w:val="51"/>
          <w:szCs w:val="51"/>
        </w:rPr>
      </w:pPr>
    </w:p>
    <w:p w14:paraId="2C405AD7">
      <w:pPr>
        <w:tabs>
          <w:tab w:val="left" w:pos="8820"/>
        </w:tabs>
        <w:jc w:val="center"/>
        <w:rPr>
          <w:rFonts w:ascii="Times New Roman" w:hAnsi="Times New Roman" w:eastAsia="方正小标宋简体"/>
          <w:color w:val="000000"/>
          <w:spacing w:val="11"/>
          <w:sz w:val="51"/>
          <w:szCs w:val="51"/>
        </w:rPr>
      </w:pPr>
    </w:p>
    <w:p w14:paraId="589AFC24">
      <w:pPr>
        <w:tabs>
          <w:tab w:val="left" w:pos="8820"/>
        </w:tabs>
        <w:jc w:val="center"/>
        <w:rPr>
          <w:rFonts w:ascii="Times New Roman" w:hAnsi="Times New Roman" w:eastAsia="方正小标宋简体"/>
          <w:color w:val="000000"/>
          <w:spacing w:val="11"/>
          <w:sz w:val="51"/>
          <w:szCs w:val="51"/>
        </w:rPr>
      </w:pPr>
    </w:p>
    <w:p w14:paraId="47EE774C">
      <w:pPr>
        <w:tabs>
          <w:tab w:val="left" w:pos="8820"/>
        </w:tabs>
        <w:jc w:val="center"/>
        <w:rPr>
          <w:rFonts w:ascii="Times New Roman" w:hAnsi="Times New Roman" w:eastAsia="方正小标宋简体"/>
          <w:color w:val="000000"/>
          <w:spacing w:val="11"/>
          <w:sz w:val="51"/>
          <w:szCs w:val="51"/>
        </w:rPr>
      </w:pPr>
    </w:p>
    <w:p w14:paraId="1130E974">
      <w:pPr>
        <w:tabs>
          <w:tab w:val="left" w:pos="8820"/>
        </w:tabs>
        <w:jc w:val="center"/>
        <w:rPr>
          <w:rFonts w:ascii="Times New Roman" w:hAnsi="Times New Roman" w:eastAsia="方正小标宋简体"/>
          <w:color w:val="000000"/>
          <w:spacing w:val="11"/>
          <w:sz w:val="51"/>
          <w:szCs w:val="51"/>
        </w:rPr>
      </w:pPr>
    </w:p>
    <w:p w14:paraId="5731FA8C">
      <w:pPr>
        <w:tabs>
          <w:tab w:val="left" w:pos="8820"/>
        </w:tabs>
        <w:jc w:val="center"/>
        <w:rPr>
          <w:rFonts w:ascii="Times New Roman" w:hAnsi="Times New Roman" w:eastAsia="方正小标宋简体"/>
          <w:color w:val="000000"/>
          <w:spacing w:val="11"/>
          <w:sz w:val="51"/>
          <w:szCs w:val="51"/>
        </w:rPr>
      </w:pPr>
    </w:p>
    <w:p w14:paraId="3A743116">
      <w:pPr>
        <w:tabs>
          <w:tab w:val="left" w:pos="8820"/>
        </w:tabs>
        <w:jc w:val="center"/>
        <w:rPr>
          <w:rFonts w:ascii="Times New Roman" w:hAnsi="Times New Roman" w:eastAsia="方正小标宋简体"/>
          <w:color w:val="000000"/>
          <w:spacing w:val="11"/>
          <w:sz w:val="51"/>
          <w:szCs w:val="51"/>
        </w:rPr>
      </w:pPr>
    </w:p>
    <w:p w14:paraId="2671A000">
      <w:pPr>
        <w:tabs>
          <w:tab w:val="left" w:pos="8820"/>
        </w:tabs>
        <w:jc w:val="center"/>
        <w:rPr>
          <w:rFonts w:ascii="Times New Roman" w:hAnsi="Times New Roman" w:eastAsia="方正小标宋简体"/>
          <w:color w:val="000000"/>
          <w:spacing w:val="11"/>
          <w:sz w:val="51"/>
          <w:szCs w:val="51"/>
        </w:rPr>
      </w:pPr>
    </w:p>
    <w:p w14:paraId="0BA84C85">
      <w:pPr>
        <w:tabs>
          <w:tab w:val="left" w:pos="8820"/>
        </w:tabs>
        <w:jc w:val="center"/>
        <w:rPr>
          <w:rFonts w:ascii="Times New Roman" w:hAnsi="Times New Roman" w:eastAsia="方正小标宋简体"/>
          <w:color w:val="000000"/>
          <w:spacing w:val="11"/>
          <w:sz w:val="51"/>
          <w:szCs w:val="51"/>
        </w:rPr>
      </w:pPr>
    </w:p>
    <w:p w14:paraId="54841157">
      <w:pPr>
        <w:tabs>
          <w:tab w:val="left" w:pos="8820"/>
        </w:tabs>
        <w:jc w:val="center"/>
        <w:rPr>
          <w:rFonts w:ascii="Times New Roman" w:hAnsi="Times New Roman" w:eastAsia="方正小标宋简体"/>
          <w:color w:val="000000"/>
          <w:spacing w:val="11"/>
          <w:sz w:val="51"/>
          <w:szCs w:val="51"/>
        </w:rPr>
      </w:pPr>
    </w:p>
    <w:p w14:paraId="6B8EA851">
      <w:pPr>
        <w:tabs>
          <w:tab w:val="left" w:pos="8820"/>
        </w:tabs>
        <w:jc w:val="center"/>
        <w:rPr>
          <w:rFonts w:ascii="Times New Roman" w:hAnsi="Times New Roman" w:eastAsia="方正小标宋简体"/>
          <w:color w:val="000000"/>
          <w:spacing w:val="11"/>
          <w:sz w:val="51"/>
          <w:szCs w:val="51"/>
        </w:rPr>
      </w:pPr>
    </w:p>
    <w:p w14:paraId="38BF8C5D">
      <w:pPr>
        <w:tabs>
          <w:tab w:val="left" w:pos="8820"/>
        </w:tabs>
        <w:jc w:val="center"/>
        <w:rPr>
          <w:rFonts w:ascii="Times New Roman" w:hAnsi="Times New Roman" w:eastAsia="方正小标宋简体"/>
          <w:color w:val="000000"/>
          <w:spacing w:val="11"/>
          <w:sz w:val="51"/>
          <w:szCs w:val="51"/>
        </w:rPr>
      </w:pPr>
    </w:p>
    <w:p w14:paraId="7FAEABDF">
      <w:pPr>
        <w:tabs>
          <w:tab w:val="left" w:pos="8820"/>
        </w:tabs>
        <w:jc w:val="center"/>
        <w:rPr>
          <w:rFonts w:ascii="Times New Roman" w:hAnsi="Times New Roman" w:eastAsia="方正小标宋简体"/>
          <w:color w:val="000000"/>
          <w:spacing w:val="11"/>
          <w:sz w:val="51"/>
          <w:szCs w:val="51"/>
        </w:rPr>
      </w:pPr>
    </w:p>
    <w:p w14:paraId="10271581">
      <w:pPr>
        <w:tabs>
          <w:tab w:val="left" w:pos="8820"/>
        </w:tabs>
        <w:jc w:val="center"/>
        <w:rPr>
          <w:rFonts w:ascii="Times New Roman" w:hAnsi="Times New Roman" w:eastAsia="方正小标宋简体"/>
          <w:color w:val="000000"/>
          <w:spacing w:val="11"/>
          <w:sz w:val="51"/>
          <w:szCs w:val="51"/>
        </w:rPr>
      </w:pPr>
    </w:p>
    <w:p w14:paraId="789E362B">
      <w:pPr>
        <w:tabs>
          <w:tab w:val="left" w:pos="8820"/>
        </w:tabs>
        <w:jc w:val="center"/>
        <w:rPr>
          <w:rFonts w:ascii="Times New Roman" w:hAnsi="Times New Roman" w:eastAsia="方正小标宋简体"/>
          <w:color w:val="000000"/>
          <w:spacing w:val="11"/>
          <w:sz w:val="51"/>
          <w:szCs w:val="51"/>
        </w:rPr>
      </w:pPr>
    </w:p>
    <w:p w14:paraId="59B7F019">
      <w:pPr>
        <w:tabs>
          <w:tab w:val="left" w:pos="8820"/>
        </w:tabs>
        <w:jc w:val="center"/>
        <w:rPr>
          <w:rFonts w:ascii="Times New Roman" w:hAnsi="Times New Roman" w:eastAsia="方正小标宋简体"/>
          <w:color w:val="000000"/>
          <w:spacing w:val="11"/>
          <w:sz w:val="51"/>
          <w:szCs w:val="51"/>
        </w:rPr>
      </w:pPr>
    </w:p>
    <w:p w14:paraId="0BB0D322">
      <w:pPr>
        <w:tabs>
          <w:tab w:val="left" w:pos="8820"/>
        </w:tabs>
        <w:jc w:val="center"/>
        <w:rPr>
          <w:rFonts w:ascii="Times New Roman" w:hAnsi="Times New Roman" w:eastAsia="方正小标宋简体"/>
          <w:color w:val="000000"/>
          <w:spacing w:val="11"/>
          <w:sz w:val="51"/>
          <w:szCs w:val="51"/>
        </w:rPr>
      </w:pPr>
    </w:p>
    <w:p w14:paraId="4CBA9EFB">
      <w:pPr>
        <w:tabs>
          <w:tab w:val="left" w:pos="8820"/>
        </w:tabs>
        <w:jc w:val="center"/>
        <w:rPr>
          <w:rFonts w:ascii="Times New Roman" w:hAnsi="Times New Roman" w:eastAsia="方正小标宋简体"/>
          <w:color w:val="000000"/>
          <w:spacing w:val="11"/>
          <w:sz w:val="51"/>
          <w:szCs w:val="51"/>
        </w:rPr>
      </w:pPr>
    </w:p>
    <w:p w14:paraId="318AC7D8">
      <w:pPr>
        <w:tabs>
          <w:tab w:val="left" w:pos="8820"/>
        </w:tabs>
        <w:jc w:val="center"/>
        <w:rPr>
          <w:rFonts w:ascii="Times New Roman" w:hAnsi="Times New Roman" w:eastAsia="方正小标宋简体"/>
          <w:color w:val="000000"/>
          <w:spacing w:val="11"/>
          <w:sz w:val="51"/>
          <w:szCs w:val="51"/>
        </w:rPr>
      </w:pPr>
    </w:p>
    <w:p w14:paraId="7AA9D47B">
      <w:pPr>
        <w:tabs>
          <w:tab w:val="left" w:pos="8820"/>
        </w:tabs>
        <w:jc w:val="center"/>
        <w:rPr>
          <w:rFonts w:ascii="Times New Roman" w:hAnsi="Times New Roman" w:eastAsia="方正小标宋简体"/>
          <w:color w:val="000000"/>
          <w:spacing w:val="11"/>
          <w:sz w:val="51"/>
          <w:szCs w:val="51"/>
        </w:rPr>
      </w:pPr>
    </w:p>
    <w:p w14:paraId="423841C3">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14:paraId="33F7202C">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23"/>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14:paraId="7CCD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14:paraId="43A076A9">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14:paraId="60EF98C7">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14:paraId="60EF98C7">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14:paraId="70604D74">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14:paraId="70604D74">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14:paraId="6CDC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14:paraId="2C63E547">
            <w:pPr>
              <w:spacing w:line="440" w:lineRule="exact"/>
              <w:jc w:val="center"/>
              <w:rPr>
                <w:rFonts w:hint="eastAsia" w:ascii="黑体" w:hAnsi="黑体" w:eastAsia="黑体" w:cs="黑体"/>
                <w:color w:val="000000"/>
                <w:spacing w:val="-11"/>
                <w:sz w:val="24"/>
              </w:rPr>
            </w:pPr>
          </w:p>
          <w:p w14:paraId="7695A077">
            <w:pPr>
              <w:spacing w:line="440" w:lineRule="exact"/>
              <w:jc w:val="center"/>
              <w:rPr>
                <w:rFonts w:hint="eastAsia" w:ascii="黑体" w:hAnsi="黑体" w:eastAsia="黑体" w:cs="黑体"/>
                <w:color w:val="000000"/>
                <w:spacing w:val="-11"/>
                <w:sz w:val="24"/>
              </w:rPr>
            </w:pPr>
          </w:p>
          <w:p w14:paraId="5FE8D353">
            <w:pPr>
              <w:spacing w:line="440" w:lineRule="exact"/>
              <w:jc w:val="center"/>
              <w:rPr>
                <w:rFonts w:hint="eastAsia" w:ascii="黑体" w:hAnsi="黑体" w:eastAsia="黑体" w:cs="黑体"/>
                <w:color w:val="000000"/>
                <w:spacing w:val="-11"/>
                <w:sz w:val="24"/>
              </w:rPr>
            </w:pPr>
          </w:p>
          <w:p w14:paraId="5DAE49C3">
            <w:pPr>
              <w:spacing w:line="440" w:lineRule="exact"/>
              <w:jc w:val="center"/>
              <w:rPr>
                <w:rFonts w:hint="eastAsia" w:ascii="黑体" w:hAnsi="黑体" w:eastAsia="黑体" w:cs="黑体"/>
                <w:color w:val="000000"/>
                <w:spacing w:val="-11"/>
                <w:sz w:val="24"/>
              </w:rPr>
            </w:pPr>
          </w:p>
          <w:p w14:paraId="15CC2E0D">
            <w:pPr>
              <w:spacing w:line="440" w:lineRule="exact"/>
              <w:jc w:val="center"/>
              <w:rPr>
                <w:rFonts w:hint="eastAsia" w:ascii="黑体" w:hAnsi="黑体" w:eastAsia="黑体" w:cs="黑体"/>
                <w:color w:val="000000"/>
                <w:spacing w:val="-11"/>
                <w:sz w:val="24"/>
              </w:rPr>
            </w:pPr>
          </w:p>
          <w:p w14:paraId="11C50372">
            <w:pPr>
              <w:spacing w:line="440" w:lineRule="exact"/>
              <w:jc w:val="center"/>
              <w:rPr>
                <w:rFonts w:hint="eastAsia" w:ascii="黑体" w:hAnsi="黑体" w:eastAsia="黑体" w:cs="黑体"/>
                <w:color w:val="000000"/>
                <w:spacing w:val="-11"/>
                <w:sz w:val="24"/>
              </w:rPr>
            </w:pPr>
          </w:p>
          <w:p w14:paraId="1D855153">
            <w:pPr>
              <w:spacing w:line="440" w:lineRule="exact"/>
              <w:jc w:val="center"/>
              <w:rPr>
                <w:rFonts w:hint="eastAsia" w:ascii="黑体" w:hAnsi="黑体" w:eastAsia="黑体" w:cs="黑体"/>
                <w:color w:val="000000"/>
                <w:spacing w:val="-11"/>
                <w:sz w:val="24"/>
              </w:rPr>
            </w:pPr>
          </w:p>
          <w:p w14:paraId="5079F612">
            <w:pPr>
              <w:spacing w:line="440" w:lineRule="exact"/>
              <w:jc w:val="center"/>
              <w:rPr>
                <w:rFonts w:hint="eastAsia" w:ascii="黑体" w:hAnsi="黑体" w:eastAsia="黑体" w:cs="黑体"/>
                <w:color w:val="000000"/>
                <w:spacing w:val="-11"/>
                <w:sz w:val="24"/>
              </w:rPr>
            </w:pPr>
          </w:p>
          <w:p w14:paraId="0D068FFA">
            <w:pPr>
              <w:spacing w:line="440" w:lineRule="exact"/>
              <w:jc w:val="center"/>
              <w:rPr>
                <w:rFonts w:hint="eastAsia" w:ascii="黑体" w:hAnsi="黑体" w:eastAsia="黑体" w:cs="黑体"/>
                <w:color w:val="000000"/>
                <w:spacing w:val="-11"/>
                <w:sz w:val="24"/>
              </w:rPr>
            </w:pPr>
          </w:p>
          <w:p w14:paraId="02F7F055">
            <w:pPr>
              <w:spacing w:line="440" w:lineRule="exact"/>
              <w:jc w:val="center"/>
              <w:rPr>
                <w:rFonts w:hint="eastAsia" w:ascii="黑体" w:hAnsi="黑体" w:eastAsia="黑体" w:cs="黑体"/>
                <w:color w:val="000000"/>
                <w:spacing w:val="-11"/>
                <w:sz w:val="24"/>
              </w:rPr>
            </w:pPr>
          </w:p>
          <w:p w14:paraId="55767FC5">
            <w:pPr>
              <w:spacing w:line="440" w:lineRule="exact"/>
              <w:jc w:val="center"/>
              <w:rPr>
                <w:rFonts w:hint="eastAsia" w:ascii="黑体" w:hAnsi="黑体" w:eastAsia="黑体" w:cs="黑体"/>
                <w:color w:val="000000"/>
                <w:spacing w:val="-11"/>
                <w:sz w:val="24"/>
              </w:rPr>
            </w:pPr>
          </w:p>
          <w:p w14:paraId="7F0CAD46">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14:paraId="6EB6ECEE">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14:paraId="417064B5">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w:t>
                                  </w:r>
                                  <w:r>
                                    <w:rPr>
                                      <w:rFonts w:hint="eastAsia" w:ascii="Times New Roman" w:hAnsi="Times New Roman" w:eastAsia="方正黑体_GBK"/>
                                      <w:szCs w:val="21"/>
                                      <w:lang w:val="en-US" w:eastAsia="zh-CN"/>
                                    </w:rPr>
                                    <w:t>4</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169F9836">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年第</w:t>
                                  </w:r>
                                  <w:r>
                                    <w:rPr>
                                      <w:rFonts w:hint="eastAsia" w:ascii="Times New Roman" w:hAnsi="Times New Roman" w:eastAsia="方正黑体_GBK"/>
                                      <w:szCs w:val="21"/>
                                      <w:lang w:val="en-US" w:eastAsia="zh-CN"/>
                                    </w:rPr>
                                    <w:t>2</w:t>
                                  </w:r>
                                  <w:r>
                                    <w:rPr>
                                      <w:rFonts w:ascii="Times New Roman" w:hAnsi="Times New Roman" w:eastAsia="方正黑体_GBK"/>
                                      <w:szCs w:val="21"/>
                                    </w:rPr>
                                    <w:t>期</w:t>
                                  </w:r>
                                </w:p>
                                <w:p w14:paraId="17E69CA1">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14:paraId="417064B5">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w:t>
                            </w:r>
                            <w:r>
                              <w:rPr>
                                <w:rFonts w:hint="eastAsia" w:ascii="Times New Roman" w:hAnsi="Times New Roman" w:eastAsia="方正黑体_GBK"/>
                                <w:szCs w:val="21"/>
                                <w:lang w:val="en-US" w:eastAsia="zh-CN"/>
                              </w:rPr>
                              <w:t>4</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169F9836">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年第</w:t>
                            </w:r>
                            <w:r>
                              <w:rPr>
                                <w:rFonts w:hint="eastAsia" w:ascii="Times New Roman" w:hAnsi="Times New Roman" w:eastAsia="方正黑体_GBK"/>
                                <w:szCs w:val="21"/>
                                <w:lang w:val="en-US" w:eastAsia="zh-CN"/>
                              </w:rPr>
                              <w:t>2</w:t>
                            </w:r>
                            <w:r>
                              <w:rPr>
                                <w:rFonts w:ascii="Times New Roman" w:hAnsi="Times New Roman" w:eastAsia="方正黑体_GBK"/>
                                <w:szCs w:val="21"/>
                              </w:rPr>
                              <w:t>期</w:t>
                            </w:r>
                          </w:p>
                          <w:p w14:paraId="17E69CA1">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27</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14:paraId="1584AD39">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14:paraId="1584AD39">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14:paraId="0F050EDF">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6BF9D739">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60D90984">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14:paraId="0F050EDF">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6BF9D739">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60D90984">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14:paraId="636B4F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昌江区人民政府关于全面清理整顿全区河道水域</w:t>
            </w:r>
          </w:p>
          <w:p w14:paraId="3BBC29D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“僵尸船”的通告</w:t>
            </w:r>
          </w:p>
          <w:p w14:paraId="6617D2C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昌府字〔202</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9</w:t>
            </w:r>
            <w:r>
              <w:rPr>
                <w:rFonts w:hint="eastAsia" w:asciiTheme="minorHAnsi" w:hAnsiTheme="minorHAnsi" w:eastAsiaTheme="minorEastAsia" w:cstheme="minorBidi"/>
                <w:kern w:val="2"/>
                <w:sz w:val="21"/>
                <w:szCs w:val="24"/>
                <w:lang w:val="en-US" w:eastAsia="zh-CN" w:bidi="ar-SA"/>
              </w:rPr>
              <w:t>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14:paraId="364C7C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昌江区人民政府办公室关于印发《昌江区农业保险高质量发展管理办法》的通知</w:t>
            </w:r>
          </w:p>
          <w:p w14:paraId="2EB78783">
            <w:pPr>
              <w:pStyle w:val="44"/>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（昌府办</w:t>
            </w:r>
            <w:r>
              <w:rPr>
                <w:rFonts w:hint="eastAsia" w:cstheme="minorBidi"/>
                <w:kern w:val="2"/>
                <w:sz w:val="21"/>
                <w:szCs w:val="24"/>
                <w:lang w:val="en-US" w:eastAsia="zh-CN" w:bidi="ar-SA"/>
              </w:rPr>
              <w:t>字</w:t>
            </w:r>
            <w:r>
              <w:rPr>
                <w:rFonts w:hint="eastAsia" w:asciiTheme="minorHAnsi" w:hAnsiTheme="minorHAnsi" w:eastAsiaTheme="minorEastAsia" w:cstheme="minorBidi"/>
                <w:kern w:val="2"/>
                <w:sz w:val="21"/>
                <w:szCs w:val="24"/>
                <w:lang w:val="en-US" w:eastAsia="zh-CN" w:bidi="ar-SA"/>
              </w:rPr>
              <w:t>〔202</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10</w:t>
            </w:r>
            <w:r>
              <w:rPr>
                <w:rFonts w:hint="eastAsia" w:asciiTheme="minorHAnsi" w:hAnsiTheme="minorHAnsi" w:eastAsiaTheme="minorEastAsia" w:cstheme="minorBidi"/>
                <w:kern w:val="2"/>
                <w:sz w:val="21"/>
                <w:szCs w:val="24"/>
                <w:lang w:val="en-US" w:eastAsia="zh-CN" w:bidi="ar-SA"/>
              </w:rPr>
              <w:t>号）……………………（</w:t>
            </w:r>
            <w:r>
              <w:rPr>
                <w:rFonts w:hint="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w:t>
            </w:r>
          </w:p>
          <w:p w14:paraId="76D52CB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关于切实做好2025年全区粮食油料增产提质工作的通知</w:t>
            </w:r>
          </w:p>
          <w:p w14:paraId="250C816D">
            <w:pPr>
              <w:pStyle w:val="44"/>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（昌府办</w:t>
            </w:r>
            <w:r>
              <w:rPr>
                <w:rFonts w:hint="eastAsia" w:cstheme="minorBidi"/>
                <w:kern w:val="2"/>
                <w:sz w:val="21"/>
                <w:szCs w:val="24"/>
                <w:lang w:val="en-US" w:eastAsia="zh-CN" w:bidi="ar-SA"/>
              </w:rPr>
              <w:t>字</w:t>
            </w:r>
            <w:r>
              <w:rPr>
                <w:rFonts w:hint="eastAsia" w:asciiTheme="minorHAnsi" w:hAnsiTheme="minorHAnsi" w:eastAsiaTheme="minorEastAsia" w:cstheme="minorBidi"/>
                <w:kern w:val="2"/>
                <w:sz w:val="21"/>
                <w:szCs w:val="24"/>
                <w:lang w:val="en-US" w:eastAsia="zh-CN" w:bidi="ar-SA"/>
              </w:rPr>
              <w:t>〔202</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14</w:t>
            </w:r>
            <w:r>
              <w:rPr>
                <w:rFonts w:hint="eastAsia" w:asciiTheme="minorHAnsi" w:hAnsiTheme="minorHAnsi" w:eastAsiaTheme="minorEastAsia" w:cstheme="minorBidi"/>
                <w:kern w:val="2"/>
                <w:sz w:val="21"/>
                <w:szCs w:val="24"/>
                <w:lang w:val="en-US" w:eastAsia="zh-CN" w:bidi="ar-SA"/>
              </w:rPr>
              <w:t>号）……………………（</w:t>
            </w:r>
            <w:r>
              <w:rPr>
                <w:rFonts w:hint="eastAsia" w:cstheme="minorBidi"/>
                <w:kern w:val="2"/>
                <w:sz w:val="21"/>
                <w:szCs w:val="24"/>
                <w:lang w:val="en-US" w:eastAsia="zh-CN" w:bidi="ar-SA"/>
              </w:rPr>
              <w:t>10</w:t>
            </w:r>
            <w:r>
              <w:rPr>
                <w:rFonts w:hint="eastAsia" w:asciiTheme="minorHAnsi" w:hAnsiTheme="minorHAnsi" w:eastAsiaTheme="minorEastAsia" w:cstheme="minorBidi"/>
                <w:kern w:val="2"/>
                <w:sz w:val="21"/>
                <w:szCs w:val="24"/>
                <w:lang w:val="en-US" w:eastAsia="zh-CN" w:bidi="ar-SA"/>
              </w:rPr>
              <w:t>）</w:t>
            </w:r>
          </w:p>
          <w:p w14:paraId="18192838">
            <w:pPr>
              <w:pStyle w:val="44"/>
              <w:spacing w:line="560" w:lineRule="exact"/>
              <w:jc w:val="both"/>
              <w:rPr>
                <w:rFonts w:hint="eastAsia" w:asciiTheme="minorHAnsi" w:hAnsiTheme="minorHAnsi" w:eastAsiaTheme="minorEastAsia" w:cstheme="minorBidi"/>
                <w:kern w:val="2"/>
                <w:sz w:val="21"/>
                <w:szCs w:val="24"/>
                <w:lang w:val="en-US" w:eastAsia="zh-CN" w:bidi="ar-SA"/>
              </w:rPr>
            </w:pPr>
            <w:bookmarkStart w:id="0" w:name="_GoBack"/>
            <w:bookmarkEnd w:id="0"/>
          </w:p>
        </w:tc>
      </w:tr>
    </w:tbl>
    <w:p w14:paraId="4A94C793">
      <w:pPr>
        <w:spacing w:line="600" w:lineRule="exact"/>
        <w:jc w:val="left"/>
        <w:rPr>
          <w:rFonts w:hint="eastAsia" w:ascii="方正小标宋简体" w:hAnsi="方正小标宋简体" w:eastAsia="方正小标宋简体" w:cs="方正小标宋简体"/>
          <w:color w:val="000000"/>
          <w:spacing w:val="17"/>
          <w:sz w:val="52"/>
          <w:szCs w:val="52"/>
        </w:rPr>
      </w:pPr>
    </w:p>
    <w:p w14:paraId="117A5FB6">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14:paraId="6C6648F1">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23"/>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14:paraId="2F15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14:paraId="0A3CBB5B">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14:paraId="7ECB02DD">
            <w:pPr>
              <w:shd w:val="clear" w:color="auto" w:fill="FFFFFF"/>
              <w:spacing w:line="120" w:lineRule="exact"/>
              <w:rPr>
                <w:rFonts w:ascii="Times New Roman" w:hAnsi="Times New Roman" w:eastAsia="方正书宋_GBK"/>
                <w:color w:val="000000"/>
                <w:kern w:val="0"/>
                <w:szCs w:val="21"/>
              </w:rPr>
            </w:pPr>
          </w:p>
          <w:p w14:paraId="5664C5C9">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63</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14:paraId="279A451D">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16</w:t>
            </w:r>
            <w:r>
              <w:rPr>
                <w:rFonts w:hint="eastAsia" w:ascii="楷体" w:hAnsi="楷体" w:eastAsia="楷体" w:cs="楷体"/>
                <w:b w:val="0"/>
                <w:bCs w:val="0"/>
                <w:kern w:val="2"/>
                <w:sz w:val="21"/>
                <w:szCs w:val="24"/>
              </w:rPr>
              <w:t>）</w:t>
            </w:r>
          </w:p>
          <w:p w14:paraId="7BEDE6F2">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64</w:t>
            </w:r>
            <w:r>
              <w:rPr>
                <w:rFonts w:hint="eastAsia" w:ascii="Calibri" w:hAnsi="Calibri" w:eastAsia="宋体" w:cs="Times New Roman"/>
                <w:b w:val="0"/>
                <w:bCs w:val="0"/>
                <w:kern w:val="2"/>
                <w:sz w:val="21"/>
                <w:szCs w:val="24"/>
              </w:rPr>
              <w:t xml:space="preserve">次常务会议 </w:t>
            </w:r>
          </w:p>
          <w:p w14:paraId="3CD777A3">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19</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65</w:t>
            </w:r>
            <w:r>
              <w:rPr>
                <w:rFonts w:hint="eastAsia" w:ascii="Calibri" w:hAnsi="Calibri" w:eastAsia="宋体" w:cs="Times New Roman"/>
                <w:b w:val="0"/>
                <w:bCs w:val="0"/>
                <w:kern w:val="2"/>
                <w:sz w:val="21"/>
                <w:szCs w:val="24"/>
              </w:rPr>
              <w:t xml:space="preserve">次常务会议 </w:t>
            </w:r>
          </w:p>
          <w:p w14:paraId="5370E53A">
            <w:pPr>
              <w:pStyle w:val="3"/>
              <w:pageBreakBefore w:val="0"/>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22</w:t>
            </w:r>
            <w:r>
              <w:rPr>
                <w:rFonts w:hint="eastAsia" w:ascii="楷体" w:hAnsi="楷体" w:eastAsia="楷体" w:cs="楷体"/>
                <w:b w:val="0"/>
                <w:bCs w:val="0"/>
                <w:kern w:val="2"/>
                <w:sz w:val="21"/>
                <w:szCs w:val="24"/>
              </w:rPr>
              <w:t>）</w:t>
            </w:r>
          </w:p>
        </w:tc>
      </w:tr>
    </w:tbl>
    <w:p w14:paraId="30594759">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14:paraId="4B3C9229">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56F98C91">
                            <w:pPr>
                              <w:spacing w:line="240" w:lineRule="exact"/>
                              <w:rPr>
                                <w:rFonts w:ascii="仿宋_GB2312" w:hAnsi="仿宋_GB2312" w:eastAsia="仿宋_GB2312" w:cs="仿宋_GB2312"/>
                              </w:rPr>
                            </w:pPr>
                          </w:p>
                          <w:p w14:paraId="2FD435AB">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6127F79B">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3409ECAE">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郝卿雅</w:t>
                            </w:r>
                          </w:p>
                          <w:p w14:paraId="4B080CD1">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w:t>
                            </w:r>
                            <w:r>
                              <w:rPr>
                                <w:rFonts w:hint="eastAsia" w:ascii="楷体_GB2312" w:hAnsi="楷体_GB2312" w:eastAsia="楷体_GB2312" w:cs="楷体_GB2312"/>
                                <w:sz w:val="22"/>
                                <w:szCs w:val="28"/>
                                <w:lang w:val="en-US" w:eastAsia="zh-CN"/>
                              </w:rPr>
                              <w:t>凤</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 xml:space="preserve"> </w:t>
                            </w:r>
                            <w:r>
                              <w:rPr>
                                <w:rFonts w:hint="eastAsia" w:ascii="楷体_GB2312" w:hAnsi="楷体_GB2312" w:eastAsia="楷体_GB2312" w:cs="楷体_GB2312"/>
                                <w:sz w:val="22"/>
                                <w:szCs w:val="28"/>
                              </w:rPr>
                              <w:t>徐润发</w:t>
                            </w:r>
                          </w:p>
                          <w:p w14:paraId="5BA116EE">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4A9B4E89">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47F8FA46">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76A93841">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6F91F979">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707BD75E">
                            <w:pPr>
                              <w:spacing w:line="400" w:lineRule="exact"/>
                              <w:rPr>
                                <w:rFonts w:ascii="仿宋_GB2312" w:hAnsi="仿宋_GB2312" w:eastAsia="仿宋_GB2312" w:cs="仿宋_GB2312"/>
                                <w:sz w:val="22"/>
                                <w:szCs w:val="28"/>
                              </w:rPr>
                            </w:pPr>
                          </w:p>
                          <w:p w14:paraId="1290B615">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34612BBF">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0F83B99F">
                            <w:pPr>
                              <w:spacing w:line="400" w:lineRule="exact"/>
                              <w:rPr>
                                <w:rFonts w:ascii="宋体" w:hAnsi="宋体" w:cs="宋体"/>
                                <w:spacing w:val="34"/>
                              </w:rPr>
                            </w:pPr>
                          </w:p>
                          <w:p w14:paraId="7BB5E3E1">
                            <w:pPr>
                              <w:pStyle w:val="7"/>
                              <w:spacing w:before="0" w:beforeAutospacing="0" w:after="0" w:afterAutospacing="0" w:line="400" w:lineRule="exact"/>
                            </w:pPr>
                          </w:p>
                          <w:p w14:paraId="61655C7A">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57BF58A2">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157E1E31">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08E3624B">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1C26E1B2">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04E1BD1D">
                            <w:pPr>
                              <w:pStyle w:val="7"/>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4667C801">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435D74EE">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2993D361">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0FB35366">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15CAC28C">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14:paraId="4B3C9229">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56F98C91">
                      <w:pPr>
                        <w:spacing w:line="240" w:lineRule="exact"/>
                        <w:rPr>
                          <w:rFonts w:ascii="仿宋_GB2312" w:hAnsi="仿宋_GB2312" w:eastAsia="仿宋_GB2312" w:cs="仿宋_GB2312"/>
                        </w:rPr>
                      </w:pPr>
                    </w:p>
                    <w:p w14:paraId="2FD435AB">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6127F79B">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3409ECAE">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郝卿雅</w:t>
                      </w:r>
                    </w:p>
                    <w:p w14:paraId="4B080CD1">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w:t>
                      </w:r>
                      <w:r>
                        <w:rPr>
                          <w:rFonts w:hint="eastAsia" w:ascii="楷体_GB2312" w:hAnsi="楷体_GB2312" w:eastAsia="楷体_GB2312" w:cs="楷体_GB2312"/>
                          <w:sz w:val="22"/>
                          <w:szCs w:val="28"/>
                          <w:lang w:val="en-US" w:eastAsia="zh-CN"/>
                        </w:rPr>
                        <w:t>凤</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 xml:space="preserve"> </w:t>
                      </w:r>
                      <w:r>
                        <w:rPr>
                          <w:rFonts w:hint="eastAsia" w:ascii="楷体_GB2312" w:hAnsi="楷体_GB2312" w:eastAsia="楷体_GB2312" w:cs="楷体_GB2312"/>
                          <w:sz w:val="22"/>
                          <w:szCs w:val="28"/>
                        </w:rPr>
                        <w:t>徐润发</w:t>
                      </w:r>
                    </w:p>
                    <w:p w14:paraId="5BA116EE">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4A9B4E89">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47F8FA46">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76A93841">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6F91F979">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707BD75E">
                      <w:pPr>
                        <w:spacing w:line="400" w:lineRule="exact"/>
                        <w:rPr>
                          <w:rFonts w:ascii="仿宋_GB2312" w:hAnsi="仿宋_GB2312" w:eastAsia="仿宋_GB2312" w:cs="仿宋_GB2312"/>
                          <w:sz w:val="22"/>
                          <w:szCs w:val="28"/>
                        </w:rPr>
                      </w:pPr>
                    </w:p>
                    <w:p w14:paraId="1290B615">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34612BBF">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0F83B99F">
                      <w:pPr>
                        <w:spacing w:line="400" w:lineRule="exact"/>
                        <w:rPr>
                          <w:rFonts w:ascii="宋体" w:hAnsi="宋体" w:cs="宋体"/>
                          <w:spacing w:val="34"/>
                        </w:rPr>
                      </w:pPr>
                    </w:p>
                    <w:p w14:paraId="7BB5E3E1">
                      <w:pPr>
                        <w:pStyle w:val="7"/>
                        <w:spacing w:before="0" w:beforeAutospacing="0" w:after="0" w:afterAutospacing="0" w:line="400" w:lineRule="exact"/>
                      </w:pPr>
                    </w:p>
                    <w:p w14:paraId="61655C7A">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57BF58A2">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157E1E31">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08E3624B">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1C26E1B2">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04E1BD1D">
                      <w:pPr>
                        <w:pStyle w:val="7"/>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4667C801">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435D74EE">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2993D361">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0FB35366">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15CAC28C">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14:paraId="7B8F7DD4">
      <w:pPr>
        <w:spacing w:line="240" w:lineRule="exact"/>
        <w:rPr>
          <w:rFonts w:ascii="Times New Roman" w:hAnsi="Times New Roman" w:eastAsia="微软雅黑"/>
          <w:color w:val="000000"/>
          <w:szCs w:val="21"/>
        </w:rPr>
      </w:pPr>
    </w:p>
    <w:p w14:paraId="0B4B91E7">
      <w:pPr>
        <w:spacing w:line="240" w:lineRule="exact"/>
        <w:rPr>
          <w:rFonts w:ascii="Times New Roman" w:hAnsi="Times New Roman" w:eastAsia="微软雅黑"/>
          <w:color w:val="000000"/>
          <w:szCs w:val="21"/>
        </w:rPr>
      </w:pPr>
    </w:p>
    <w:p w14:paraId="6819F2AB">
      <w:pPr>
        <w:spacing w:line="240" w:lineRule="exact"/>
        <w:rPr>
          <w:rFonts w:ascii="Times New Roman" w:hAnsi="Times New Roman" w:eastAsia="微软雅黑"/>
          <w:color w:val="000000"/>
          <w:szCs w:val="21"/>
        </w:rPr>
      </w:pPr>
    </w:p>
    <w:p w14:paraId="40F2E753">
      <w:pPr>
        <w:spacing w:line="240" w:lineRule="exact"/>
        <w:rPr>
          <w:rFonts w:ascii="Times New Roman" w:hAnsi="Times New Roman" w:eastAsia="微软雅黑"/>
          <w:color w:val="000000"/>
          <w:szCs w:val="21"/>
        </w:rPr>
      </w:pPr>
    </w:p>
    <w:p w14:paraId="4C5DDBDB">
      <w:pPr>
        <w:spacing w:line="240" w:lineRule="exact"/>
        <w:rPr>
          <w:rFonts w:ascii="Times New Roman" w:hAnsi="Times New Roman" w:eastAsia="微软雅黑"/>
          <w:color w:val="000000"/>
          <w:szCs w:val="21"/>
        </w:rPr>
      </w:pPr>
    </w:p>
    <w:p w14:paraId="02DEB3D7">
      <w:pPr>
        <w:spacing w:line="240" w:lineRule="exact"/>
        <w:rPr>
          <w:rFonts w:ascii="Times New Roman" w:hAnsi="Times New Roman" w:eastAsia="微软雅黑"/>
          <w:color w:val="000000"/>
          <w:szCs w:val="21"/>
        </w:rPr>
      </w:pPr>
    </w:p>
    <w:p w14:paraId="20F9BE3B">
      <w:pPr>
        <w:spacing w:line="240" w:lineRule="exact"/>
        <w:rPr>
          <w:rFonts w:ascii="Times New Roman" w:hAnsi="Times New Roman" w:eastAsia="微软雅黑"/>
          <w:color w:val="000000"/>
          <w:szCs w:val="21"/>
        </w:rPr>
      </w:pPr>
    </w:p>
    <w:p w14:paraId="42E60BE2">
      <w:pPr>
        <w:spacing w:line="240" w:lineRule="exact"/>
        <w:rPr>
          <w:rFonts w:ascii="Times New Roman" w:hAnsi="Times New Roman" w:eastAsia="微软雅黑"/>
          <w:color w:val="000000"/>
          <w:szCs w:val="21"/>
        </w:rPr>
      </w:pPr>
    </w:p>
    <w:p w14:paraId="474EF3D3">
      <w:pPr>
        <w:spacing w:line="240" w:lineRule="exact"/>
        <w:rPr>
          <w:rFonts w:ascii="Times New Roman" w:hAnsi="Times New Roman" w:eastAsia="微软雅黑"/>
          <w:color w:val="000000"/>
          <w:szCs w:val="21"/>
        </w:rPr>
      </w:pPr>
    </w:p>
    <w:p w14:paraId="1800673E">
      <w:pPr>
        <w:spacing w:line="240" w:lineRule="exact"/>
        <w:rPr>
          <w:rFonts w:ascii="Times New Roman" w:hAnsi="Times New Roman" w:eastAsia="微软雅黑"/>
          <w:color w:val="000000"/>
          <w:szCs w:val="21"/>
        </w:rPr>
      </w:pPr>
    </w:p>
    <w:p w14:paraId="4C2BEEB8">
      <w:pPr>
        <w:spacing w:line="240" w:lineRule="exact"/>
        <w:rPr>
          <w:rFonts w:ascii="Times New Roman" w:hAnsi="Times New Roman" w:eastAsia="微软雅黑"/>
          <w:color w:val="000000"/>
          <w:szCs w:val="21"/>
        </w:rPr>
      </w:pPr>
    </w:p>
    <w:p w14:paraId="02FE10E3">
      <w:pPr>
        <w:spacing w:line="240" w:lineRule="exact"/>
        <w:rPr>
          <w:rFonts w:ascii="Times New Roman" w:hAnsi="Times New Roman" w:eastAsia="微软雅黑"/>
          <w:color w:val="000000"/>
          <w:szCs w:val="21"/>
        </w:rPr>
      </w:pPr>
    </w:p>
    <w:p w14:paraId="24985958">
      <w:pPr>
        <w:spacing w:line="240" w:lineRule="exact"/>
        <w:rPr>
          <w:rFonts w:ascii="Times New Roman" w:hAnsi="Times New Roman" w:eastAsia="微软雅黑"/>
          <w:color w:val="000000"/>
          <w:szCs w:val="21"/>
        </w:rPr>
      </w:pPr>
    </w:p>
    <w:p w14:paraId="600BE46E">
      <w:pPr>
        <w:spacing w:line="240" w:lineRule="exact"/>
        <w:rPr>
          <w:rFonts w:ascii="Times New Roman" w:hAnsi="Times New Roman" w:eastAsia="微软雅黑"/>
          <w:color w:val="000000"/>
          <w:szCs w:val="21"/>
        </w:rPr>
      </w:pPr>
    </w:p>
    <w:p w14:paraId="6BA6D1B1">
      <w:pPr>
        <w:spacing w:line="240" w:lineRule="exact"/>
        <w:rPr>
          <w:rFonts w:ascii="Times New Roman" w:hAnsi="Times New Roman" w:eastAsia="微软雅黑"/>
          <w:color w:val="000000"/>
          <w:szCs w:val="21"/>
        </w:rPr>
      </w:pPr>
    </w:p>
    <w:p w14:paraId="3EB300A2">
      <w:pPr>
        <w:spacing w:line="240" w:lineRule="exact"/>
        <w:rPr>
          <w:rFonts w:ascii="Times New Roman" w:hAnsi="Times New Roman" w:eastAsia="微软雅黑"/>
          <w:color w:val="000000"/>
          <w:szCs w:val="21"/>
        </w:rPr>
      </w:pPr>
    </w:p>
    <w:p w14:paraId="12BB314E">
      <w:pPr>
        <w:spacing w:line="240" w:lineRule="exact"/>
        <w:rPr>
          <w:rFonts w:ascii="Times New Roman" w:hAnsi="Times New Roman" w:eastAsia="微软雅黑"/>
          <w:color w:val="000000"/>
          <w:szCs w:val="21"/>
        </w:rPr>
      </w:pPr>
    </w:p>
    <w:p w14:paraId="2F2FCAFF">
      <w:pPr>
        <w:spacing w:line="240" w:lineRule="exact"/>
        <w:rPr>
          <w:rFonts w:ascii="Times New Roman" w:hAnsi="Times New Roman" w:eastAsia="微软雅黑"/>
          <w:color w:val="000000"/>
          <w:szCs w:val="21"/>
        </w:rPr>
      </w:pPr>
    </w:p>
    <w:p w14:paraId="4BFF4DD3">
      <w:pPr>
        <w:spacing w:line="240" w:lineRule="exact"/>
        <w:rPr>
          <w:rFonts w:ascii="Times New Roman" w:hAnsi="Times New Roman" w:eastAsia="微软雅黑"/>
          <w:color w:val="000000"/>
          <w:szCs w:val="21"/>
        </w:rPr>
      </w:pPr>
    </w:p>
    <w:p w14:paraId="465E9379">
      <w:pPr>
        <w:spacing w:line="240" w:lineRule="exact"/>
        <w:rPr>
          <w:rFonts w:ascii="Times New Roman" w:hAnsi="Times New Roman" w:eastAsia="微软雅黑"/>
          <w:color w:val="000000"/>
          <w:szCs w:val="21"/>
        </w:rPr>
      </w:pPr>
    </w:p>
    <w:p w14:paraId="324D6037">
      <w:pPr>
        <w:spacing w:line="240" w:lineRule="exact"/>
        <w:rPr>
          <w:rFonts w:ascii="Times New Roman" w:hAnsi="Times New Roman" w:eastAsia="微软雅黑"/>
          <w:color w:val="000000"/>
          <w:szCs w:val="21"/>
        </w:rPr>
      </w:pPr>
    </w:p>
    <w:p w14:paraId="52711270">
      <w:pPr>
        <w:spacing w:line="240" w:lineRule="exact"/>
        <w:rPr>
          <w:rFonts w:ascii="Times New Roman" w:hAnsi="Times New Roman" w:eastAsia="微软雅黑"/>
          <w:color w:val="000000"/>
          <w:szCs w:val="21"/>
        </w:rPr>
      </w:pPr>
    </w:p>
    <w:p w14:paraId="398272B7">
      <w:pPr>
        <w:spacing w:line="240" w:lineRule="exact"/>
        <w:rPr>
          <w:rFonts w:ascii="Times New Roman" w:hAnsi="Times New Roman" w:eastAsia="微软雅黑"/>
          <w:color w:val="000000"/>
          <w:szCs w:val="21"/>
        </w:rPr>
      </w:pPr>
    </w:p>
    <w:p w14:paraId="1AA74451">
      <w:pPr>
        <w:spacing w:line="240" w:lineRule="exact"/>
        <w:rPr>
          <w:rFonts w:ascii="Times New Roman" w:hAnsi="Times New Roman" w:eastAsia="微软雅黑"/>
          <w:color w:val="000000"/>
          <w:szCs w:val="21"/>
        </w:rPr>
      </w:pPr>
    </w:p>
    <w:p w14:paraId="475348E7">
      <w:pPr>
        <w:spacing w:line="240" w:lineRule="exact"/>
        <w:rPr>
          <w:rFonts w:ascii="Times New Roman" w:hAnsi="Times New Roman" w:eastAsia="微软雅黑"/>
          <w:color w:val="000000"/>
          <w:szCs w:val="21"/>
        </w:rPr>
      </w:pPr>
    </w:p>
    <w:p w14:paraId="623DA108">
      <w:pPr>
        <w:spacing w:line="240" w:lineRule="exact"/>
        <w:rPr>
          <w:rFonts w:ascii="Times New Roman" w:hAnsi="Times New Roman" w:eastAsia="微软雅黑"/>
          <w:color w:val="000000"/>
          <w:szCs w:val="21"/>
        </w:rPr>
      </w:pPr>
    </w:p>
    <w:p w14:paraId="65871F7E">
      <w:pPr>
        <w:spacing w:line="240" w:lineRule="exact"/>
        <w:rPr>
          <w:rFonts w:ascii="Times New Roman" w:hAnsi="Times New Roman" w:eastAsia="微软雅黑"/>
          <w:color w:val="000000"/>
          <w:szCs w:val="21"/>
        </w:rPr>
      </w:pPr>
    </w:p>
    <w:p w14:paraId="5347ABB6">
      <w:pPr>
        <w:spacing w:line="240" w:lineRule="exact"/>
        <w:rPr>
          <w:rFonts w:ascii="Times New Roman" w:hAnsi="Times New Roman" w:eastAsia="微软雅黑"/>
          <w:color w:val="000000"/>
          <w:szCs w:val="21"/>
        </w:rPr>
      </w:pPr>
    </w:p>
    <w:p w14:paraId="3762801E">
      <w:pPr>
        <w:spacing w:line="240" w:lineRule="exact"/>
        <w:rPr>
          <w:rFonts w:ascii="Times New Roman" w:hAnsi="Times New Roman" w:eastAsia="微软雅黑"/>
          <w:color w:val="000000"/>
          <w:szCs w:val="21"/>
        </w:rPr>
      </w:pPr>
    </w:p>
    <w:p w14:paraId="73F674A5">
      <w:pPr>
        <w:spacing w:line="240" w:lineRule="exact"/>
        <w:rPr>
          <w:rFonts w:ascii="Times New Roman" w:hAnsi="Times New Roman" w:eastAsia="微软雅黑"/>
          <w:color w:val="000000"/>
          <w:szCs w:val="21"/>
        </w:rPr>
      </w:pPr>
    </w:p>
    <w:p w14:paraId="4102DE77">
      <w:pPr>
        <w:spacing w:line="240" w:lineRule="exact"/>
        <w:rPr>
          <w:rFonts w:ascii="Times New Roman" w:hAnsi="Times New Roman" w:eastAsia="微软雅黑"/>
          <w:color w:val="000000"/>
          <w:szCs w:val="21"/>
        </w:rPr>
      </w:pPr>
    </w:p>
    <w:p w14:paraId="75EB6F05">
      <w:pPr>
        <w:spacing w:line="240" w:lineRule="exact"/>
        <w:rPr>
          <w:rFonts w:ascii="Times New Roman" w:hAnsi="Times New Roman" w:eastAsia="微软雅黑"/>
          <w:color w:val="000000"/>
          <w:szCs w:val="21"/>
        </w:rPr>
      </w:pPr>
    </w:p>
    <w:p w14:paraId="0A192AA2">
      <w:pPr>
        <w:spacing w:line="240" w:lineRule="exact"/>
        <w:rPr>
          <w:rFonts w:ascii="Times New Roman" w:hAnsi="Times New Roman" w:eastAsia="微软雅黑"/>
          <w:color w:val="000000"/>
          <w:szCs w:val="21"/>
        </w:rPr>
      </w:pPr>
    </w:p>
    <w:p w14:paraId="4560BFF7">
      <w:pPr>
        <w:spacing w:line="240" w:lineRule="exact"/>
        <w:rPr>
          <w:rFonts w:ascii="Times New Roman" w:hAnsi="Times New Roman" w:eastAsia="微软雅黑"/>
          <w:color w:val="000000"/>
          <w:szCs w:val="21"/>
        </w:rPr>
      </w:pPr>
    </w:p>
    <w:p w14:paraId="1180CEFD">
      <w:pPr>
        <w:spacing w:line="240" w:lineRule="exact"/>
        <w:rPr>
          <w:rFonts w:ascii="Times New Roman" w:hAnsi="Times New Roman" w:eastAsia="微软雅黑"/>
          <w:color w:val="000000"/>
          <w:szCs w:val="21"/>
        </w:rPr>
      </w:pPr>
    </w:p>
    <w:p w14:paraId="64F98C33">
      <w:pPr>
        <w:spacing w:line="240" w:lineRule="exact"/>
        <w:rPr>
          <w:rFonts w:ascii="Times New Roman" w:hAnsi="Times New Roman" w:eastAsia="微软雅黑"/>
          <w:color w:val="000000"/>
          <w:szCs w:val="21"/>
        </w:rPr>
      </w:pPr>
    </w:p>
    <w:p w14:paraId="19E9D0E5">
      <w:pPr>
        <w:spacing w:line="240" w:lineRule="exact"/>
        <w:rPr>
          <w:rFonts w:ascii="Times New Roman" w:hAnsi="Times New Roman" w:eastAsia="微软雅黑"/>
          <w:color w:val="000000"/>
          <w:szCs w:val="21"/>
        </w:rPr>
      </w:pPr>
    </w:p>
    <w:p w14:paraId="4110CFE1">
      <w:pPr>
        <w:spacing w:line="240" w:lineRule="exact"/>
        <w:rPr>
          <w:rFonts w:ascii="Times New Roman" w:hAnsi="Times New Roman" w:eastAsia="微软雅黑"/>
          <w:color w:val="000000"/>
          <w:szCs w:val="21"/>
        </w:rPr>
      </w:pPr>
    </w:p>
    <w:p w14:paraId="70A186C4">
      <w:pPr>
        <w:spacing w:line="240" w:lineRule="exact"/>
        <w:rPr>
          <w:rFonts w:ascii="Times New Roman" w:hAnsi="Times New Roman" w:eastAsia="微软雅黑"/>
          <w:color w:val="000000"/>
          <w:szCs w:val="21"/>
        </w:rPr>
      </w:pPr>
    </w:p>
    <w:p w14:paraId="7644BD0B">
      <w:pPr>
        <w:spacing w:line="240" w:lineRule="exact"/>
        <w:rPr>
          <w:rFonts w:ascii="Times New Roman" w:hAnsi="Times New Roman" w:eastAsia="微软雅黑"/>
          <w:color w:val="000000"/>
          <w:szCs w:val="21"/>
        </w:rPr>
      </w:pPr>
    </w:p>
    <w:p w14:paraId="25FBB1D4">
      <w:pPr>
        <w:spacing w:line="240" w:lineRule="exact"/>
        <w:rPr>
          <w:rFonts w:ascii="Times New Roman" w:hAnsi="Times New Roman" w:eastAsia="微软雅黑"/>
          <w:color w:val="000000"/>
          <w:szCs w:val="21"/>
        </w:rPr>
      </w:pPr>
    </w:p>
    <w:p w14:paraId="6DB9EAAF">
      <w:pPr>
        <w:spacing w:line="240" w:lineRule="exact"/>
        <w:rPr>
          <w:rFonts w:ascii="Times New Roman" w:hAnsi="Times New Roman" w:eastAsia="微软雅黑"/>
          <w:color w:val="000000"/>
          <w:szCs w:val="21"/>
        </w:rPr>
      </w:pPr>
    </w:p>
    <w:p w14:paraId="56D8AAFC">
      <w:pPr>
        <w:spacing w:line="240" w:lineRule="exact"/>
        <w:rPr>
          <w:rFonts w:ascii="Times New Roman" w:hAnsi="Times New Roman" w:eastAsia="微软雅黑"/>
          <w:color w:val="000000"/>
          <w:szCs w:val="21"/>
        </w:rPr>
      </w:pPr>
    </w:p>
    <w:p w14:paraId="045B5B86">
      <w:pPr>
        <w:pStyle w:val="32"/>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14:paraId="7A3FAC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14:paraId="180FA3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昌江区人民政府</w:t>
      </w:r>
    </w:p>
    <w:p w14:paraId="68CD9F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关于全面清理整顿全区河道水域</w:t>
      </w:r>
    </w:p>
    <w:p w14:paraId="55043A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“僵尸船”的通告</w:t>
      </w:r>
    </w:p>
    <w:p w14:paraId="28C0EF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04652A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为确保河道水域防洪、航运、生态安全，清除安全和污染隐患，即日起，在全区河道水域范围内开展全区清理整顿长期停泊不用、无人管理的船舶（即“僵尸船”）专项行动，现将有关事项通告如下：</w:t>
      </w:r>
    </w:p>
    <w:p w14:paraId="0A1200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“僵尸船”清理整按照“政府主导、交通牵头、部门配合”的工作机制，由乡镇（街道）属地负责，交通海事部门牵头、环保等部门配合协同推进。</w:t>
      </w:r>
    </w:p>
    <w:p w14:paraId="35452C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各乡镇（街道）对辖区内“僵尸船”进行全面摸底调查，掌握长期停靠不用、无人管理船舶的所有人、船舶基本情况、停靠地点等基本信息，建立辖区内“僵尸船”档案。</w:t>
      </w:r>
    </w:p>
    <w:p w14:paraId="4D58B8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lang w:val="en-US" w:eastAsia="zh-CN"/>
        </w:rPr>
        <w:t>根据《中华人民共和国内河交通安全管理条例》、《江西省水路交通条例》等法律法规的规定，自本通告发布之日起十日内，各船主携带本人身份证及所有船舶相关证件，主动到所属乡镇（街道）交管站或村委会（社区）登记认领，将“僵尸船”自行驶离，妥善安全处置。常用船舶在乡镇（街道）交管、水管部门指导下安全规范停靠。对无人认领或无人管理的船舶，将组织相关执法部门依法依规处置。</w:t>
      </w:r>
    </w:p>
    <w:p w14:paraId="4D9D90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lang w:val="en-US" w:eastAsia="zh-CN"/>
        </w:rPr>
        <w:t>违反本通告规定、阻碍执法人员依法执行公务的，依照相关法律法规规定，由公安机关依法查处；情节恶劣、构成犯罪的将移交司法机关追究刑事责任。</w:t>
      </w:r>
    </w:p>
    <w:p w14:paraId="2CBD4D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lang w:val="en-US" w:eastAsia="zh-CN"/>
        </w:rPr>
        <w:t>本通告自发布之日起执行。</w:t>
      </w:r>
    </w:p>
    <w:p w14:paraId="3534E297">
      <w:pPr>
        <w:numPr>
          <w:ilvl w:val="0"/>
          <w:numId w:val="0"/>
        </w:numPr>
        <w:jc w:val="both"/>
        <w:rPr>
          <w:rFonts w:hint="eastAsia" w:ascii="仿宋_GB2312" w:hAnsi="仿宋_GB2312" w:eastAsia="仿宋_GB2312" w:cs="仿宋_GB2312"/>
          <w:sz w:val="32"/>
          <w:szCs w:val="32"/>
          <w:lang w:val="en-US" w:eastAsia="zh-CN"/>
        </w:rPr>
      </w:pPr>
    </w:p>
    <w:p w14:paraId="61C01DEF">
      <w:pPr>
        <w:numPr>
          <w:ilvl w:val="0"/>
          <w:numId w:val="0"/>
        </w:numPr>
        <w:jc w:val="right"/>
        <w:rPr>
          <w:rFonts w:hint="eastAsia" w:ascii="仿宋_GB2312" w:hAnsi="仿宋_GB2312" w:eastAsia="仿宋_GB2312" w:cs="仿宋_GB2312"/>
          <w:sz w:val="32"/>
          <w:szCs w:val="32"/>
          <w:lang w:val="en-US" w:eastAsia="zh-CN"/>
        </w:rPr>
      </w:pPr>
    </w:p>
    <w:p w14:paraId="6F8537C8">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昌江区人民政府</w:t>
      </w:r>
    </w:p>
    <w:p w14:paraId="16F10F6A">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2025年4月8日</w:t>
      </w:r>
    </w:p>
    <w:p w14:paraId="3242A62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76EF2BCC">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40E556C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33D7F47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24DED72B">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0C66EA7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1912007B">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6EB139B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706E084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37959EA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0A4CCE3F">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1A0AEC1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166C6FF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2E8FFAA8">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7536DF6E">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rPr>
      </w:pPr>
    </w:p>
    <w:p w14:paraId="5FC72A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6AA75A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78685A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昌江区人民政府办公室</w:t>
      </w:r>
    </w:p>
    <w:p w14:paraId="0AEC5F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关于印发《昌江区农业保险高质量发展</w:t>
      </w:r>
    </w:p>
    <w:p w14:paraId="14BCE6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管理办法》的通知</w:t>
      </w:r>
    </w:p>
    <w:p w14:paraId="4EE467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p>
    <w:p w14:paraId="2FBFDDFD">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各乡（镇）人民政府、街道办事处、区直相关部门：</w:t>
      </w:r>
    </w:p>
    <w:p w14:paraId="63363CA0">
      <w:pPr>
        <w:keepNext w:val="0"/>
        <w:keepLines w:val="0"/>
        <w:pageBreakBefore w:val="0"/>
        <w:widowControl w:val="0"/>
        <w:kinsoku/>
        <w:wordWrap/>
        <w:overflowPunct/>
        <w:topLinePunct w:val="0"/>
        <w:autoSpaceDE/>
        <w:autoSpaceDN/>
        <w:bidi w:val="0"/>
        <w:adjustRightInd/>
        <w:snapToGrid/>
        <w:spacing w:after="469" w:afterLines="15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为规范我区政策性农业保险承保机构工作，推动我区农业保险工作高质量发展，切实维护农民利益，根据有关政策法规规定，结合我区实际，制定了《昌江区农业保险高质量发展实施方案》，现印发给你们。</w:t>
      </w:r>
    </w:p>
    <w:p w14:paraId="135F968F">
      <w:pPr>
        <w:ind w:firstLine="320" w:firstLineChars="1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昌江区人民政府办公室</w:t>
      </w:r>
    </w:p>
    <w:p w14:paraId="4BB65CE1">
      <w:pPr>
        <w:ind w:firstLine="320" w:firstLineChars="1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2025年3月31日</w:t>
      </w:r>
    </w:p>
    <w:p w14:paraId="2FC3AF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200506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3BA97C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5DB09B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433C32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758A14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264081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3EE521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20D0D8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508D82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467701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07C454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05AAFC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昌江区农业保险高质量发展实施方案</w:t>
      </w:r>
    </w:p>
    <w:p w14:paraId="1E743EFE">
      <w:pPr>
        <w:jc w:val="both"/>
        <w:rPr>
          <w:rFonts w:hint="eastAsia" w:ascii="仿宋_GB2312" w:hAnsi="仿宋_GB2312" w:eastAsia="仿宋_GB2312" w:cs="仿宋_GB2312"/>
          <w:sz w:val="32"/>
          <w:szCs w:val="32"/>
          <w:lang w:val="en-US" w:eastAsia="zh-CN"/>
        </w:rPr>
      </w:pPr>
    </w:p>
    <w:p w14:paraId="262CAE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我区农业保险高质量发展，推动农业保险更好地服务于农业防灾减损和农户增产增收、助力脱贫防贫、保障我区农村同步全面建成小康社会，根据《江西省财政厅关于印发江西省农业保险高质量发展的实施方案的通知》(赣财金〔2020〕40号)要求，结合我区实际，制定本实施方案。</w:t>
      </w:r>
    </w:p>
    <w:p w14:paraId="61EE66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一、指导思想</w:t>
      </w:r>
    </w:p>
    <w:p w14:paraId="266FF8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紧紧围绕区委、区政府决策部署，实施乡村振兴战略、打赢脱贫攻坚战，深化农业供给侧结构性改革，按照“扩面、提标、增品”要求，进一步完善农业保险政策，提高农业保险服务能力，优化农业保险运行机制，推动农业保险高质量发展，更好地满足“三农”领域风险保障需求。</w:t>
      </w:r>
    </w:p>
    <w:p w14:paraId="588F0A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二、基本</w:t>
      </w:r>
      <w:r>
        <w:rPr>
          <w:rFonts w:hint="eastAsia" w:ascii="楷体_GB2312" w:hAnsi="楷体_GB2312" w:eastAsia="楷体_GB2312" w:cs="楷体_GB2312"/>
          <w:b/>
          <w:bCs/>
          <w:sz w:val="32"/>
          <w:szCs w:val="32"/>
          <w:lang w:val="en-US" w:eastAsia="zh-CN"/>
        </w:rPr>
        <w:t>原则</w:t>
      </w:r>
    </w:p>
    <w:p w14:paraId="6D86B86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highlight w:val="none"/>
          <w:lang w:val="en-US" w:eastAsia="zh-CN"/>
        </w:rPr>
        <w:t>(一)政府引导。</w:t>
      </w:r>
      <w:r>
        <w:rPr>
          <w:rFonts w:hint="eastAsia" w:ascii="仿宋_GB2312" w:hAnsi="仿宋_GB2312" w:eastAsia="仿宋_GB2312" w:cs="仿宋_GB2312"/>
          <w:sz w:val="32"/>
          <w:szCs w:val="32"/>
          <w:lang w:val="en-US" w:eastAsia="zh-CN"/>
        </w:rPr>
        <w:t>发挥政府引导作用，建立推进农业保险持续健康发展的良性工作机制，明确分工，为农业保险发展营造良好环境，推动农业保险工作规范有序开展。</w:t>
      </w:r>
    </w:p>
    <w:p w14:paraId="14D44F9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highlight w:val="none"/>
          <w:lang w:val="en-US" w:eastAsia="zh-CN"/>
        </w:rPr>
        <w:t>(二)市场运作。</w:t>
      </w:r>
      <w:r>
        <w:rPr>
          <w:rFonts w:hint="eastAsia" w:ascii="仿宋_GB2312" w:hAnsi="仿宋_GB2312" w:eastAsia="仿宋_GB2312" w:cs="仿宋_GB2312"/>
          <w:sz w:val="32"/>
          <w:szCs w:val="32"/>
          <w:lang w:val="en-US" w:eastAsia="zh-CN"/>
        </w:rPr>
        <w:t>坚持市场开拓与政策支持相互促进，政策性农业保险整体经营、保本微利，商业性农业保险市场化运作。通过公平有序竞争，引导保险机构全面提升农业保险服务水平，充分发挥其在农业保险经营中的自主性和创造性。</w:t>
      </w:r>
    </w:p>
    <w:p w14:paraId="21C26A2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highlight w:val="none"/>
          <w:lang w:val="en-US" w:eastAsia="zh-CN"/>
        </w:rPr>
        <w:t>(三)自主自愿。</w:t>
      </w:r>
      <w:r>
        <w:rPr>
          <w:rFonts w:hint="eastAsia" w:ascii="仿宋_GB2312" w:hAnsi="仿宋_GB2312" w:eastAsia="仿宋_GB2312" w:cs="仿宋_GB2312"/>
          <w:sz w:val="32"/>
          <w:szCs w:val="32"/>
          <w:lang w:val="en-US" w:eastAsia="zh-CN"/>
        </w:rPr>
        <w:t>鼓励和引导农户或农业生产经营组织根据承受能力自主自愿、依法依规参加农业保险，实现“愿保尽保”。</w:t>
      </w:r>
    </w:p>
    <w:p w14:paraId="07A8F27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highlight w:val="none"/>
          <w:lang w:val="en-US" w:eastAsia="zh-CN"/>
        </w:rPr>
        <w:t>(四)协同推进。</w:t>
      </w:r>
      <w:r>
        <w:rPr>
          <w:rFonts w:hint="eastAsia" w:ascii="仿宋_GB2312" w:hAnsi="仿宋_GB2312" w:eastAsia="仿宋_GB2312" w:cs="仿宋_GB2312"/>
          <w:sz w:val="32"/>
          <w:szCs w:val="32"/>
          <w:lang w:val="en-US" w:eastAsia="zh-CN"/>
        </w:rPr>
        <w:t>各有关部门、各乡镇（街道）及经办机构密切配合，采取切实有效措施解决农业保险发展过程中遇到的热点、难点、痛点问题，推进农业保险工作稳步开展。</w:t>
      </w:r>
    </w:p>
    <w:p w14:paraId="68F525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三、主要目标</w:t>
      </w:r>
    </w:p>
    <w:p w14:paraId="66D816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到2025年，基本建成功能完善、运行规范、基础完备，与农业农村现代化发展阶段相适应、与农户风险保障需求相契合，中央、省与市县分工负责的多层次农业保险体系。</w:t>
      </w:r>
    </w:p>
    <w:p w14:paraId="2E3122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四、实施重点</w:t>
      </w:r>
    </w:p>
    <w:p w14:paraId="6D0107B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(一)提升农业保险服务能力</w:t>
      </w:r>
    </w:p>
    <w:p w14:paraId="242F202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1.扩大农业保险覆盖面。</w:t>
      </w:r>
      <w:r>
        <w:rPr>
          <w:rFonts w:hint="eastAsia" w:ascii="仿宋_GB2312" w:hAnsi="仿宋_GB2312" w:eastAsia="仿宋_GB2312" w:cs="仿宋_GB2312"/>
          <w:sz w:val="32"/>
          <w:szCs w:val="32"/>
          <w:lang w:val="en-US" w:eastAsia="zh-CN"/>
        </w:rPr>
        <w:t>充分利用中央、省级财政支持政策，巩固发展好政策性农业保险和农业大灾保险试点，稳步提高大宗农产品覆盖面。加大农业保险宣传力度和农业保险信息公开投入、提高散小农户的参保率。探索创新投保率较低的种植和养殖保险模式，增强农业保险产品内在吸引力，不断扩大保险覆盖率</w:t>
      </w:r>
      <w:r>
        <w:rPr>
          <w:rFonts w:hint="eastAsia" w:ascii="仿宋_GB2312" w:hAnsi="仿宋_GB2312" w:eastAsia="仿宋_GB2312" w:cs="仿宋_GB2312"/>
          <w:b/>
          <w:bCs/>
          <w:sz w:val="32"/>
          <w:szCs w:val="32"/>
          <w:lang w:val="en-US" w:eastAsia="zh-CN"/>
        </w:rPr>
        <w:t>。</w:t>
      </w:r>
      <w:r>
        <w:rPr>
          <w:rFonts w:hint="eastAsia" w:ascii="楷体_GB2312" w:hAnsi="楷体_GB2312" w:eastAsia="楷体_GB2312" w:cs="楷体_GB2312"/>
          <w:b w:val="0"/>
          <w:bCs w:val="0"/>
          <w:sz w:val="32"/>
          <w:szCs w:val="32"/>
          <w:lang w:val="en-US" w:eastAsia="zh-CN"/>
        </w:rPr>
        <w:t>〔责任单位： 区农业农村水利局、区林业局、区财政局、区金融发展服务中心、各乡镇（街道）、有关保险机构〕</w:t>
      </w:r>
    </w:p>
    <w:p w14:paraId="34EAD90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2.提高农业保险保障水平。</w:t>
      </w:r>
      <w:r>
        <w:rPr>
          <w:rFonts w:hint="eastAsia" w:ascii="仿宋_GB2312" w:hAnsi="仿宋_GB2312" w:eastAsia="仿宋_GB2312" w:cs="仿宋_GB2312"/>
          <w:sz w:val="32"/>
          <w:szCs w:val="32"/>
          <w:lang w:val="en-US" w:eastAsia="zh-CN"/>
        </w:rPr>
        <w:t>根据我区农业产业结构调整和生产成本变动，建立农业保险保障水平动态调整机制，针对不同类型险种，不断提高保障水平。</w:t>
      </w:r>
      <w:r>
        <w:rPr>
          <w:rFonts w:hint="eastAsia" w:ascii="楷体_GB2312" w:hAnsi="楷体_GB2312" w:eastAsia="楷体_GB2312" w:cs="楷体_GB2312"/>
          <w:b w:val="0"/>
          <w:bCs w:val="0"/>
          <w:sz w:val="32"/>
          <w:szCs w:val="32"/>
          <w:lang w:val="en-US" w:eastAsia="zh-CN"/>
        </w:rPr>
        <w:t>〔责任单位：区财政局、区农业农村水利局、区林业局、区金融发展服务中心、区应急管理局、各乡镇（街道）、有关保险机构〕</w:t>
      </w:r>
    </w:p>
    <w:p w14:paraId="6A4EF70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3.切实保障农户利益。</w:t>
      </w:r>
      <w:r>
        <w:rPr>
          <w:rFonts w:hint="eastAsia" w:ascii="仿宋_GB2312" w:hAnsi="仿宋_GB2312" w:eastAsia="仿宋_GB2312" w:cs="仿宋_GB2312"/>
          <w:sz w:val="32"/>
          <w:szCs w:val="32"/>
          <w:lang w:val="en-US" w:eastAsia="zh-CN"/>
        </w:rPr>
        <w:t>推动农业保险条款通俗化、标准化切实维护投保农户和农业生产经营组织知情权。做到农险政策、承保情况、理赔结果、服务标准、监管要求“五公开”,确保定损到户、理赔到户，不惜赔、不拖赔，主动接受广大农户和社会监督，切实提高承保理赔效率。</w:t>
      </w:r>
      <w:r>
        <w:rPr>
          <w:rFonts w:hint="eastAsia" w:ascii="楷体_GB2312" w:hAnsi="楷体_GB2312" w:eastAsia="楷体_GB2312" w:cs="楷体_GB2312"/>
          <w:b w:val="0"/>
          <w:bCs w:val="0"/>
          <w:sz w:val="32"/>
          <w:szCs w:val="32"/>
          <w:lang w:val="en-US" w:eastAsia="zh-CN"/>
        </w:rPr>
        <w:t>〔责任单位：区农业农村水利局、区林业局、区应急管理局、区财政局、有关保险机构〕</w:t>
      </w:r>
    </w:p>
    <w:p w14:paraId="6DF5DAE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(二)优化农业保险运行机制</w:t>
      </w:r>
    </w:p>
    <w:p w14:paraId="0758E07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1.厘清政府与市场的关系。</w:t>
      </w:r>
      <w:r>
        <w:rPr>
          <w:rFonts w:hint="eastAsia" w:ascii="仿宋_GB2312" w:hAnsi="仿宋_GB2312" w:eastAsia="仿宋_GB2312" w:cs="仿宋_GB2312"/>
          <w:sz w:val="32"/>
          <w:szCs w:val="32"/>
          <w:lang w:val="en-US" w:eastAsia="zh-CN"/>
        </w:rPr>
        <w:t>充分尊重保险机构的自主经营权，不参与、不干涉农业保险的具体经营。</w:t>
      </w:r>
      <w:r>
        <w:rPr>
          <w:rFonts w:hint="eastAsia" w:ascii="楷体_GB2312" w:hAnsi="楷体_GB2312" w:eastAsia="楷体_GB2312" w:cs="楷体_GB2312"/>
          <w:b w:val="0"/>
          <w:bCs w:val="0"/>
          <w:sz w:val="32"/>
          <w:szCs w:val="32"/>
          <w:lang w:val="en-US" w:eastAsia="zh-CN"/>
        </w:rPr>
        <w:t>〔责任单位：区财政局、区金融发展服务中心、区农业农村水利局、区林业局、区应急管理局、有关保险机构〕</w:t>
      </w:r>
    </w:p>
    <w:p w14:paraId="0058FE9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2.健全风险防范和应急处置机制。</w:t>
      </w:r>
      <w:r>
        <w:rPr>
          <w:rFonts w:hint="eastAsia" w:ascii="仿宋_GB2312" w:hAnsi="仿宋_GB2312" w:eastAsia="仿宋_GB2312" w:cs="仿宋_GB2312"/>
          <w:sz w:val="32"/>
          <w:szCs w:val="32"/>
          <w:lang w:val="en-US" w:eastAsia="zh-CN"/>
        </w:rPr>
        <w:t>保险机构要增强农业保险合规经营和诚信经营意识，建立健全内控和风险防范机制。严格遵守财务会计准则和金融监管要求，强化偿付能力管理。健全风险防范和应急处置机制，加强与农业农村、林业、应急等部门的合作，做好农业保险赔付资金与政府救灾资金的协同运用。</w:t>
      </w:r>
      <w:r>
        <w:rPr>
          <w:rFonts w:hint="eastAsia" w:ascii="楷体_GB2312" w:hAnsi="楷体_GB2312" w:eastAsia="楷体_GB2312" w:cs="楷体_GB2312"/>
          <w:b w:val="0"/>
          <w:bCs w:val="0"/>
          <w:sz w:val="32"/>
          <w:szCs w:val="32"/>
          <w:lang w:val="en-US" w:eastAsia="zh-CN"/>
        </w:rPr>
        <w:t>〔责任单位：区财政局、区审计局、区农业农村水利局、区林业局、区应急管理局、有关保险机构〕</w:t>
      </w:r>
    </w:p>
    <w:p w14:paraId="00F0CCF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3.健全监督检查处罚机制。</w:t>
      </w:r>
      <w:r>
        <w:rPr>
          <w:rFonts w:hint="eastAsia" w:ascii="仿宋_GB2312" w:hAnsi="仿宋_GB2312" w:eastAsia="仿宋_GB2312" w:cs="仿宋_GB2312"/>
          <w:sz w:val="32"/>
          <w:szCs w:val="32"/>
          <w:lang w:val="en-US" w:eastAsia="zh-CN"/>
        </w:rPr>
        <w:t>建立审计监管机制，综合治理农业保险业务领域违法违规、弄虚作假问题。对未达到基本经营要求、存在重大违规行为或重大风险隐患的保险机构，提请市财政局坚决依法清退出农业保险市场；对骗取财政补贴资金、虚假承保、虚假理赔的保险机构及相关单位和人员，依法依规予以处理；对涉嫌犯罪的，依法追究刑事责任。</w:t>
      </w:r>
      <w:r>
        <w:rPr>
          <w:rFonts w:hint="eastAsia" w:ascii="楷体_GB2312" w:hAnsi="楷体_GB2312" w:eastAsia="楷体_GB2312" w:cs="楷体_GB2312"/>
          <w:b w:val="0"/>
          <w:bCs w:val="0"/>
          <w:sz w:val="32"/>
          <w:szCs w:val="32"/>
          <w:lang w:val="en-US" w:eastAsia="zh-CN"/>
        </w:rPr>
        <w:t>〔责任单位：区财政局、区审计局、区金融发展服务中心、区农业农村水利局、区林业局、区应急管理局〕</w:t>
      </w:r>
    </w:p>
    <w:p w14:paraId="1073978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bCs/>
          <w:color w:val="auto"/>
          <w:sz w:val="32"/>
          <w:szCs w:val="32"/>
          <w:highlight w:val="none"/>
          <w:lang w:val="en-US" w:eastAsia="zh-CN"/>
        </w:rPr>
      </w:pPr>
      <w:r>
        <w:rPr>
          <w:rFonts w:hint="eastAsia" w:ascii="仿宋_GB2312" w:hAnsi="仿宋_GB2312" w:eastAsia="仿宋_GB2312" w:cs="仿宋_GB2312"/>
          <w:sz w:val="32"/>
          <w:szCs w:val="32"/>
          <w:lang w:val="en-US" w:eastAsia="zh-CN"/>
        </w:rPr>
        <w:t>(</w:t>
      </w:r>
      <w:r>
        <w:rPr>
          <w:rFonts w:hint="eastAsia" w:ascii="楷体" w:hAnsi="楷体" w:eastAsia="楷体" w:cs="楷体"/>
          <w:b/>
          <w:bCs/>
          <w:color w:val="auto"/>
          <w:sz w:val="32"/>
          <w:szCs w:val="32"/>
          <w:highlight w:val="none"/>
          <w:lang w:val="en-US" w:eastAsia="zh-CN"/>
        </w:rPr>
        <w:t>三)加强农业保险基础设施建设</w:t>
      </w:r>
    </w:p>
    <w:p w14:paraId="0D0241E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1.加大农业保险信息化投入。</w:t>
      </w:r>
      <w:r>
        <w:rPr>
          <w:rFonts w:hint="eastAsia" w:ascii="仿宋_GB2312" w:hAnsi="仿宋_GB2312" w:eastAsia="仿宋_GB2312" w:cs="仿宋_GB2312"/>
          <w:sz w:val="32"/>
          <w:szCs w:val="32"/>
          <w:lang w:val="en-US" w:eastAsia="zh-CN"/>
        </w:rPr>
        <w:t>探索建立农业保险信息共享机制，整合农业农村、林业、应急管理、财政、金融办等部门以及保险机构的涉农数据和信息，动态掌握参保农户和农业生产经营组织相关情况，从源头上防止弄虚作假和骗取财政补贴资金等行为。鼓励保险机构运用科技手段优化服务，快速有效开展农业保险承保、查勘定损和理赔等服务，提高工作管理效率。</w:t>
      </w:r>
      <w:r>
        <w:rPr>
          <w:rFonts w:hint="eastAsia" w:ascii="楷体_GB2312" w:hAnsi="楷体_GB2312" w:eastAsia="楷体_GB2312" w:cs="楷体_GB2312"/>
          <w:b w:val="0"/>
          <w:bCs w:val="0"/>
          <w:sz w:val="32"/>
          <w:szCs w:val="32"/>
          <w:lang w:val="en-US" w:eastAsia="zh-CN"/>
        </w:rPr>
        <w:t>〔责任单位：区农业农村水利局、区林业局、区应急管理局、区财政局、区金融发展服务中心、有关保险机构〕</w:t>
      </w:r>
    </w:p>
    <w:p w14:paraId="44CE877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2.加强农业保险制度建设。</w:t>
      </w:r>
      <w:r>
        <w:rPr>
          <w:rFonts w:hint="eastAsia" w:ascii="仿宋_GB2312" w:hAnsi="仿宋_GB2312" w:eastAsia="仿宋_GB2312" w:cs="仿宋_GB2312"/>
          <w:sz w:val="32"/>
          <w:szCs w:val="32"/>
          <w:lang w:val="en-US" w:eastAsia="zh-CN"/>
        </w:rPr>
        <w:t>完善我区农业保险制度体系建设，从制度层面明确农业保险的定位，明确政府相关部门、保险机构、农户等参与主体在推进农业保险发展中的职责和义务。加强农业保险与农业产业、农业救灾、农业补贴等政策之间的协同，充分发挥农业保险作用。进一步依法依规细化资金管理、经费开支、承保理赔标准等方面制度，不断提高农业保险合规经营水平。</w:t>
      </w:r>
      <w:r>
        <w:rPr>
          <w:rFonts w:hint="eastAsia" w:ascii="楷体_GB2312" w:hAnsi="楷体_GB2312" w:eastAsia="楷体_GB2312" w:cs="楷体_GB2312"/>
          <w:b w:val="0"/>
          <w:bCs w:val="0"/>
          <w:sz w:val="32"/>
          <w:szCs w:val="32"/>
          <w:lang w:val="en-US" w:eastAsia="zh-CN"/>
        </w:rPr>
        <w:t>〔责任单位：区财政局、区金融发展服务中心、区农业农村水利局、区林业局、区应急管理局、各乡镇（街道）、有关保险机构〕</w:t>
      </w:r>
    </w:p>
    <w:p w14:paraId="403FEF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五、保障措施</w:t>
      </w:r>
    </w:p>
    <w:p w14:paraId="45B2C65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(一)加强组织领导。</w:t>
      </w:r>
      <w:r>
        <w:rPr>
          <w:rFonts w:hint="eastAsia" w:ascii="仿宋_GB2312" w:hAnsi="仿宋_GB2312" w:eastAsia="仿宋_GB2312" w:cs="仿宋_GB2312"/>
          <w:sz w:val="32"/>
          <w:szCs w:val="32"/>
          <w:lang w:val="en-US" w:eastAsia="zh-CN"/>
        </w:rPr>
        <w:t>各有关部门，乡镇（街道）要高度重视加快农业保险高质量发展工作，加强沟通协调，形成工作合力。区财政局会同区农业农村水利局、区林业局、区应急管理局、区金融发展服务中心等部门成立昌江区农业保险工作小组，统筹规划、协同推进农业保险工作。</w:t>
      </w:r>
    </w:p>
    <w:p w14:paraId="629E2B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区财政局负责做好保费补贴资金的预算、拨付、结算以及资金使用监督和资金绩效管理等相关工作。</w:t>
      </w:r>
    </w:p>
    <w:p w14:paraId="304721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区农业农村水利局、区林业局、区应急管理局等专业主管部门负责审核本行业基础数据，配合区财政局做好保费补贴资金初审工作，负责开展全过程预算绩效管理工作。</w:t>
      </w:r>
    </w:p>
    <w:p w14:paraId="775818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区金融发展服务中心要配合相关部门建立农业保险信息共享机制、开展农业保险监督检查等相关工作；参与拟定政策性农业保险相关政策和考核工作，提出农业保险发展建议。</w:t>
      </w:r>
    </w:p>
    <w:p w14:paraId="78F93E8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sz w:val="32"/>
          <w:szCs w:val="32"/>
          <w:lang w:val="en-US" w:eastAsia="zh-CN"/>
        </w:rPr>
        <w:t>其他相关部门根据各自职责，积极配合主管部门做好农业保险相关工作。</w:t>
      </w:r>
      <w:r>
        <w:rPr>
          <w:rFonts w:hint="eastAsia" w:ascii="楷体_GB2312" w:hAnsi="楷体_GB2312" w:eastAsia="楷体_GB2312" w:cs="楷体_GB2312"/>
          <w:b w:val="0"/>
          <w:bCs w:val="0"/>
          <w:sz w:val="32"/>
          <w:szCs w:val="32"/>
          <w:lang w:val="en-US" w:eastAsia="zh-CN"/>
        </w:rPr>
        <w:t>〔责任单位：区财政局、区农业农村水利局、区林业局、 区应急管理局、区金融发展服务中心、各乡镇（街道）、有关保险机构〕</w:t>
      </w:r>
    </w:p>
    <w:p w14:paraId="36D5B54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(二)加大宣传力度。</w:t>
      </w:r>
      <w:r>
        <w:rPr>
          <w:rFonts w:hint="eastAsia" w:ascii="仿宋_GB2312" w:hAnsi="仿宋_GB2312" w:eastAsia="仿宋_GB2312" w:cs="仿宋_GB2312"/>
          <w:sz w:val="32"/>
          <w:szCs w:val="32"/>
          <w:lang w:val="en-US" w:eastAsia="zh-CN"/>
        </w:rPr>
        <w:t>各有关部门，乡镇（街道）要高度重视农业保险宣传工作，积极普及农业保险知识；保险机构要用农户看得见、听得懂的方式宣讲农业保险条款和投保理赔流程，让广大农户切身感受政策性农业保险的好处，增强其对保险的认知度，不断提升农户投保意愿。</w:t>
      </w:r>
      <w:r>
        <w:rPr>
          <w:rFonts w:hint="eastAsia" w:ascii="楷体_GB2312" w:hAnsi="楷体_GB2312" w:eastAsia="楷体_GB2312" w:cs="楷体_GB2312"/>
          <w:b w:val="0"/>
          <w:bCs w:val="0"/>
          <w:sz w:val="32"/>
          <w:szCs w:val="32"/>
          <w:lang w:val="en-US" w:eastAsia="zh-CN"/>
        </w:rPr>
        <w:t>〔各乡镇（街道）、区农业农村水利局、区林业局、区应急管理局、区金融发展服务中心、有关保险机构〕</w:t>
      </w:r>
    </w:p>
    <w:p w14:paraId="45E8B5D5">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outlineLvl w:val="0"/>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(三)建立绩效考评机制。</w:t>
      </w:r>
      <w:r>
        <w:rPr>
          <w:rFonts w:hint="eastAsia" w:ascii="仿宋_GB2312" w:hAnsi="仿宋_GB2312" w:eastAsia="仿宋_GB2312" w:cs="仿宋_GB2312"/>
          <w:sz w:val="32"/>
          <w:szCs w:val="32"/>
          <w:lang w:val="en-US" w:eastAsia="zh-CN"/>
        </w:rPr>
        <w:t>加强对农业保险经办机构的考核工作，以服务能力为导向，将保险机构网点铺设情况、业务发展、承保质量、理赔服务、农户满意度及农业保险创新等情况纳入考核范围。</w:t>
      </w:r>
      <w:r>
        <w:rPr>
          <w:rFonts w:hint="eastAsia" w:ascii="楷体_GB2312" w:hAnsi="楷体_GB2312" w:eastAsia="楷体_GB2312" w:cs="楷体_GB2312"/>
          <w:b w:val="0"/>
          <w:bCs w:val="0"/>
          <w:sz w:val="32"/>
          <w:szCs w:val="32"/>
          <w:lang w:val="en-US" w:eastAsia="zh-CN"/>
        </w:rPr>
        <w:t xml:space="preserve">〔区财政局、区农业农村水利局、区林业局、区应急管理局、区金融发展服务中心、各乡镇（街道）〕   </w:t>
      </w:r>
    </w:p>
    <w:p w14:paraId="047AC21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104AB3F6">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34D6B0C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1265DD05">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2F928CF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5B5ADA95">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17ECFDBC">
      <w:pPr>
        <w:pStyle w:val="2"/>
        <w:rPr>
          <w:rFonts w:hint="eastAsia" w:ascii="楷体_GB2312" w:hAnsi="楷体_GB2312" w:eastAsia="楷体_GB2312" w:cs="楷体_GB2312"/>
          <w:b w:val="0"/>
          <w:bCs w:val="0"/>
          <w:sz w:val="32"/>
          <w:szCs w:val="32"/>
          <w:lang w:val="en-US" w:eastAsia="zh-CN"/>
        </w:rPr>
      </w:pPr>
    </w:p>
    <w:p w14:paraId="1EC6429C">
      <w:pPr>
        <w:rPr>
          <w:rFonts w:hint="eastAsia" w:ascii="楷体_GB2312" w:hAnsi="楷体_GB2312" w:eastAsia="楷体_GB2312" w:cs="楷体_GB2312"/>
          <w:b w:val="0"/>
          <w:bCs w:val="0"/>
          <w:sz w:val="32"/>
          <w:szCs w:val="32"/>
          <w:lang w:val="en-US" w:eastAsia="zh-CN"/>
        </w:rPr>
      </w:pPr>
    </w:p>
    <w:p w14:paraId="0705390A">
      <w:pPr>
        <w:pStyle w:val="2"/>
        <w:rPr>
          <w:rFonts w:hint="eastAsia" w:ascii="楷体_GB2312" w:hAnsi="楷体_GB2312" w:eastAsia="楷体_GB2312" w:cs="楷体_GB2312"/>
          <w:b w:val="0"/>
          <w:bCs w:val="0"/>
          <w:sz w:val="32"/>
          <w:szCs w:val="32"/>
          <w:lang w:val="en-US" w:eastAsia="zh-CN"/>
        </w:rPr>
      </w:pPr>
    </w:p>
    <w:p w14:paraId="0A040B48">
      <w:pPr>
        <w:rPr>
          <w:rFonts w:hint="eastAsia" w:ascii="楷体_GB2312" w:hAnsi="楷体_GB2312" w:eastAsia="楷体_GB2312" w:cs="楷体_GB2312"/>
          <w:b w:val="0"/>
          <w:bCs w:val="0"/>
          <w:sz w:val="32"/>
          <w:szCs w:val="32"/>
          <w:lang w:val="en-US" w:eastAsia="zh-CN"/>
        </w:rPr>
      </w:pPr>
    </w:p>
    <w:p w14:paraId="75A5712E">
      <w:pPr>
        <w:pStyle w:val="2"/>
        <w:rPr>
          <w:rFonts w:hint="eastAsia" w:ascii="楷体_GB2312" w:hAnsi="楷体_GB2312" w:eastAsia="楷体_GB2312" w:cs="楷体_GB2312"/>
          <w:b w:val="0"/>
          <w:bCs w:val="0"/>
          <w:sz w:val="32"/>
          <w:szCs w:val="32"/>
          <w:lang w:val="en-US" w:eastAsia="zh-CN"/>
        </w:rPr>
      </w:pPr>
    </w:p>
    <w:p w14:paraId="09DE9891">
      <w:pPr>
        <w:pStyle w:val="2"/>
        <w:rPr>
          <w:rFonts w:hint="eastAsia"/>
          <w:lang w:val="en-US" w:eastAsia="zh-CN"/>
        </w:rPr>
      </w:pPr>
    </w:p>
    <w:p w14:paraId="148A71CC">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color w:val="auto"/>
          <w:sz w:val="44"/>
          <w:szCs w:val="44"/>
          <w:lang w:val="en-US" w:eastAsia="zh-CN"/>
        </w:rPr>
      </w:pPr>
    </w:p>
    <w:p w14:paraId="6F9D7803">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关于切实做好2025年全区粮食油料</w:t>
      </w:r>
    </w:p>
    <w:p w14:paraId="21907F8B">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仿宋_GB2312" w:hAnsi="仿宋_GB2312" w:eastAsia="仿宋_GB2312" w:cs="仿宋_GB2312"/>
          <w:spacing w:val="0"/>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增产提质工作的通知</w:t>
      </w:r>
    </w:p>
    <w:p w14:paraId="751399E3">
      <w:pPr>
        <w:keepNext w:val="0"/>
        <w:keepLines w:val="0"/>
        <w:pageBreakBefore w:val="0"/>
        <w:widowControl/>
        <w:wordWrap/>
        <w:overflowPunct/>
        <w:topLinePunct w:val="0"/>
        <w:bidi w:val="0"/>
        <w:spacing w:line="560" w:lineRule="exact"/>
        <w:jc w:val="left"/>
        <w:rPr>
          <w:rFonts w:hint="eastAsia" w:ascii="仿宋_GB2312" w:hAnsi="仿宋_GB2312" w:eastAsia="仿宋_GB2312" w:cs="仿宋_GB2312"/>
          <w:color w:val="000000"/>
          <w:kern w:val="0"/>
          <w:sz w:val="31"/>
          <w:szCs w:val="31"/>
          <w:lang w:bidi="ar"/>
        </w:rPr>
      </w:pPr>
    </w:p>
    <w:p w14:paraId="6EEB2DBF">
      <w:pPr>
        <w:keepNext w:val="0"/>
        <w:keepLines w:val="0"/>
        <w:pageBreakBefore w:val="0"/>
        <w:widowControl/>
        <w:wordWrap/>
        <w:overflowPunct/>
        <w:topLinePunct w:val="0"/>
        <w:bidi w:val="0"/>
        <w:spacing w:line="600" w:lineRule="exact"/>
        <w:jc w:val="left"/>
        <w:rPr>
          <w:rFonts w:hint="eastAsia" w:ascii="仿宋_GB2312" w:eastAsia="仿宋_GB2312"/>
          <w:sz w:val="32"/>
          <w:szCs w:val="32"/>
        </w:rPr>
      </w:pPr>
      <w:r>
        <w:rPr>
          <w:rFonts w:hint="eastAsia" w:ascii="仿宋_GB2312" w:eastAsia="仿宋_GB2312"/>
          <w:sz w:val="32"/>
          <w:szCs w:val="32"/>
        </w:rPr>
        <w:t>各乡（镇）</w:t>
      </w:r>
      <w:r>
        <w:rPr>
          <w:rFonts w:hint="eastAsia" w:ascii="仿宋_GB2312" w:eastAsia="仿宋_GB2312"/>
          <w:sz w:val="32"/>
          <w:szCs w:val="32"/>
          <w:lang w:val="en-US" w:eastAsia="zh-CN"/>
        </w:rPr>
        <w:t>人民政府、</w:t>
      </w:r>
      <w:r>
        <w:rPr>
          <w:rFonts w:hint="eastAsia" w:ascii="仿宋_GB2312" w:eastAsia="仿宋_GB2312"/>
          <w:sz w:val="32"/>
          <w:szCs w:val="32"/>
        </w:rPr>
        <w:t>街道</w:t>
      </w:r>
      <w:r>
        <w:rPr>
          <w:rFonts w:hint="eastAsia" w:ascii="仿宋_GB2312" w:eastAsia="仿宋_GB2312"/>
          <w:sz w:val="32"/>
          <w:szCs w:val="32"/>
          <w:lang w:val="en-US" w:eastAsia="zh-CN"/>
        </w:rPr>
        <w:t>办事处</w:t>
      </w:r>
      <w:r>
        <w:rPr>
          <w:rFonts w:hint="eastAsia" w:ascii="仿宋_GB2312" w:eastAsia="仿宋_GB2312"/>
          <w:sz w:val="32"/>
          <w:szCs w:val="32"/>
        </w:rPr>
        <w:t>，</w:t>
      </w:r>
      <w:r>
        <w:rPr>
          <w:rFonts w:hint="eastAsia" w:ascii="仿宋_GB2312" w:eastAsia="仿宋_GB2312"/>
          <w:color w:val="000000"/>
          <w:sz w:val="32"/>
          <w:szCs w:val="32"/>
          <w:lang w:val="en-US" w:eastAsia="zh-CN"/>
        </w:rPr>
        <w:t>区政府各有关部门</w:t>
      </w:r>
      <w:r>
        <w:rPr>
          <w:rFonts w:hint="eastAsia" w:ascii="仿宋_GB2312" w:eastAsia="仿宋_GB2312"/>
          <w:color w:val="000000"/>
          <w:sz w:val="32"/>
          <w:szCs w:val="32"/>
        </w:rPr>
        <w:t>：</w:t>
      </w:r>
    </w:p>
    <w:p w14:paraId="507150EF">
      <w:pPr>
        <w:keepNext w:val="0"/>
        <w:keepLines w:val="0"/>
        <w:pageBreakBefore w:val="0"/>
        <w:widowControl/>
        <w:wordWrap/>
        <w:overflowPunct/>
        <w:topLinePunct w:val="0"/>
        <w:bidi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习近平总书记在多个场合反复强调，“粮食安全是“国之大者”，保障粮食、重要农产品稳定安全供给始终是建设农业强国的头等大事”，2025年是“十四五”规划收官之年、“十五五”规划谋篇布局之年。为深入贯彻落实市委、市政府有关文件精神，切实做好全年粮食油料生产工作，经区政府同意，现将有关事项通知如下。</w:t>
      </w:r>
    </w:p>
    <w:p w14:paraId="05F5E5C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勇担当，善作为，绘写粮油生产崭新篇章</w:t>
      </w:r>
    </w:p>
    <w:p w14:paraId="17ABD3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sz w:val="32"/>
          <w:szCs w:val="32"/>
          <w:lang w:eastAsia="zh-CN"/>
        </w:rPr>
        <w:t>（一）筑牢粮食安全责任底线。</w:t>
      </w:r>
      <w:r>
        <w:rPr>
          <w:rFonts w:hint="eastAsia" w:ascii="仿宋_GB2312" w:eastAsia="仿宋_GB2312"/>
          <w:sz w:val="32"/>
          <w:szCs w:val="32"/>
        </w:rPr>
        <w:t>各乡（镇）街道</w:t>
      </w:r>
      <w:r>
        <w:rPr>
          <w:rFonts w:hint="eastAsia" w:ascii="仿宋_GB2312" w:hAnsi="仿宋_GB2312" w:eastAsia="仿宋_GB2312" w:cs="仿宋_GB2312"/>
          <w:spacing w:val="0"/>
          <w:sz w:val="32"/>
          <w:szCs w:val="32"/>
          <w:lang w:eastAsia="zh-CN"/>
        </w:rPr>
        <w:t>要深入贯彻落实习近平总书记关于保障国家粮食安全的重要指示批示精神和考察江西重要讲话精神，始终把保障粮食等重要农产品供给作为全区“三农”工作和乡村振兴的首要任务。切实提高政治站位，充分认识保障粮食安全对稳定经济社会发展的重大意义和当前稳定粮食安全的严峻复杂形势，坚决担负起保障粮食安全的主体责任，全面落实粮食安全“党政同责”，确保各项工作部署到位。</w:t>
      </w:r>
    </w:p>
    <w:p w14:paraId="3213EA2A">
      <w:pPr>
        <w:keepNext w:val="0"/>
        <w:keepLines w:val="0"/>
        <w:pageBreakBefore w:val="0"/>
        <w:wordWrap/>
        <w:overflowPunct/>
        <w:topLinePunct w:val="0"/>
        <w:bidi w:val="0"/>
        <w:spacing w:line="600" w:lineRule="exact"/>
        <w:ind w:firstLine="643" w:firstLineChars="200"/>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eastAsia="zh-CN"/>
        </w:rPr>
        <w:t>（二）稳定粮食油料播种面积。</w:t>
      </w:r>
      <w:r>
        <w:rPr>
          <w:rFonts w:hint="eastAsia" w:ascii="仿宋_GB2312" w:eastAsia="仿宋_GB2312"/>
          <w:sz w:val="32"/>
          <w:szCs w:val="32"/>
        </w:rPr>
        <w:t>各乡（镇）街道</w:t>
      </w:r>
      <w:r>
        <w:rPr>
          <w:rFonts w:hint="eastAsia" w:ascii="仿宋_GB2312" w:hAnsi="仿宋_GB2312" w:eastAsia="仿宋_GB2312" w:cs="仿宋_GB2312"/>
          <w:spacing w:val="0"/>
          <w:sz w:val="32"/>
          <w:szCs w:val="32"/>
          <w:lang w:val="en-US" w:eastAsia="zh-CN"/>
        </w:rPr>
        <w:t>要将区级下达的粮食油料大豆任务逐级分解落实到村，建立台账，突出抓好早稻生产，全力保障各项任务圆满完成</w:t>
      </w:r>
      <w:r>
        <w:rPr>
          <w:rFonts w:hint="eastAsia" w:ascii="仿宋_GB2312" w:hAnsi="仿宋_GB2312" w:eastAsia="仿宋_GB2312" w:cs="仿宋_GB2312"/>
          <w:spacing w:val="0"/>
          <w:sz w:val="32"/>
          <w:szCs w:val="32"/>
          <w:lang w:eastAsia="zh-CN"/>
        </w:rPr>
        <w:t>。</w:t>
      </w:r>
      <w:r>
        <w:rPr>
          <w:rFonts w:hint="eastAsia" w:ascii="仿宋_GB2312" w:hAnsi="宋体" w:eastAsia="仿宋_GB2312" w:cs="宋体"/>
          <w:sz w:val="32"/>
          <w:szCs w:val="32"/>
          <w:lang w:eastAsia="zh-CN"/>
        </w:rPr>
        <w:t>确保</w:t>
      </w:r>
      <w:r>
        <w:rPr>
          <w:rFonts w:hint="eastAsia" w:ascii="仿宋_GB2312" w:hAnsi="宋体" w:eastAsia="仿宋_GB2312" w:cs="宋体"/>
          <w:sz w:val="32"/>
          <w:szCs w:val="32"/>
        </w:rPr>
        <w:t>全区</w:t>
      </w:r>
      <w:r>
        <w:rPr>
          <w:rFonts w:hint="eastAsia" w:ascii="仿宋_GB2312" w:hAnsi="宋体" w:eastAsia="仿宋_GB2312" w:cs="宋体"/>
          <w:sz w:val="32"/>
          <w:szCs w:val="32"/>
          <w:lang w:val="en-US" w:eastAsia="zh-CN"/>
        </w:rPr>
        <w:t>早稻面积</w:t>
      </w:r>
      <w:r>
        <w:rPr>
          <w:rFonts w:hint="eastAsia" w:ascii="仿宋_GB2312" w:hAnsi="宋体" w:eastAsia="仿宋_GB2312" w:cs="宋体"/>
          <w:sz w:val="32"/>
          <w:szCs w:val="32"/>
          <w:lang w:eastAsia="zh-CN"/>
        </w:rPr>
        <w:t>完成</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万亩</w:t>
      </w:r>
      <w:r>
        <w:rPr>
          <w:rFonts w:hint="eastAsia" w:ascii="仿宋_GB2312" w:hAnsi="宋体" w:eastAsia="仿宋_GB2312" w:cs="宋体"/>
          <w:sz w:val="32"/>
          <w:szCs w:val="32"/>
          <w:lang w:eastAsia="zh-CN"/>
        </w:rPr>
        <w:t>以上</w:t>
      </w:r>
      <w:r>
        <w:rPr>
          <w:rFonts w:hint="eastAsia" w:ascii="仿宋_GB2312" w:hAnsi="宋体" w:eastAsia="仿宋_GB2312" w:cs="宋体"/>
          <w:sz w:val="32"/>
          <w:szCs w:val="32"/>
        </w:rPr>
        <w:t>，大豆面积</w:t>
      </w:r>
      <w:r>
        <w:rPr>
          <w:rFonts w:hint="eastAsia" w:ascii="仿宋_GB2312" w:hAnsi="宋体" w:eastAsia="仿宋_GB2312" w:cs="宋体"/>
          <w:sz w:val="32"/>
          <w:szCs w:val="32"/>
          <w:lang w:eastAsia="zh-CN"/>
        </w:rPr>
        <w:t>完成</w:t>
      </w:r>
      <w:r>
        <w:rPr>
          <w:rFonts w:hint="eastAsia" w:ascii="仿宋_GB2312" w:hAnsi="宋体" w:eastAsia="仿宋_GB2312" w:cs="宋体"/>
          <w:sz w:val="32"/>
          <w:szCs w:val="32"/>
        </w:rPr>
        <w:t>0.3</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万亩</w:t>
      </w:r>
      <w:r>
        <w:rPr>
          <w:rFonts w:hint="eastAsia" w:ascii="仿宋_GB2312" w:hAnsi="宋体" w:eastAsia="仿宋_GB2312" w:cs="宋体"/>
          <w:sz w:val="32"/>
          <w:szCs w:val="32"/>
          <w:lang w:eastAsia="zh-CN"/>
        </w:rPr>
        <w:t>以上</w:t>
      </w:r>
      <w:r>
        <w:rPr>
          <w:rFonts w:hint="eastAsia" w:ascii="仿宋_GB2312" w:hAnsi="宋体" w:eastAsia="仿宋_GB2312" w:cs="宋体"/>
          <w:sz w:val="32"/>
          <w:szCs w:val="32"/>
        </w:rPr>
        <w:t>，粮食播种面积稳定在7.65万亩以上，总产量力争达到5500万斤，（粮食生产目标见附件），</w:t>
      </w:r>
      <w:r>
        <w:rPr>
          <w:rFonts w:hint="eastAsia" w:ascii="仿宋_GB2312" w:hAnsi="仿宋_GB2312" w:eastAsia="仿宋_GB2312" w:cs="仿宋_GB2312"/>
          <w:spacing w:val="0"/>
          <w:sz w:val="32"/>
          <w:szCs w:val="32"/>
          <w:lang w:val="en-US" w:eastAsia="zh-CN"/>
        </w:rPr>
        <w:t>草本油料作物播种面积2.96 万亩以上。要切实做好水稻水田合理匹配，确保早稻等粮食面积有效落实，要充分发掘旱地和非传统耕地潜能，发展“田埂豆”等种植模式，稳定大豆种植面积。持续推进油菜下水田，兼顾芝麻等油料作物，高效开展稻油轮作，巩固油菜扩种成果。</w:t>
      </w:r>
    </w:p>
    <w:p w14:paraId="5AFA4740">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b w:val="0"/>
          <w:bCs w:val="0"/>
          <w:spacing w:val="-6"/>
          <w:sz w:val="32"/>
          <w:szCs w:val="32"/>
          <w:lang w:val="en-US" w:eastAsia="zh-CN"/>
        </w:rPr>
      </w:pPr>
      <w:r>
        <w:rPr>
          <w:rFonts w:hint="eastAsia" w:ascii="楷体_GB2312" w:hAnsi="楷体_GB2312" w:eastAsia="楷体_GB2312" w:cs="楷体_GB2312"/>
          <w:b/>
          <w:bCs/>
          <w:spacing w:val="0"/>
          <w:sz w:val="32"/>
          <w:szCs w:val="32"/>
          <w:lang w:eastAsia="zh-CN"/>
        </w:rPr>
        <w:t>（三）促推粮油作物</w:t>
      </w:r>
      <w:r>
        <w:rPr>
          <w:rFonts w:hint="eastAsia" w:ascii="楷体_GB2312" w:hAnsi="楷体_GB2312" w:eastAsia="楷体_GB2312" w:cs="楷体_GB2312"/>
          <w:b/>
          <w:bCs/>
          <w:spacing w:val="0"/>
          <w:sz w:val="32"/>
          <w:szCs w:val="32"/>
          <w:lang w:val="en-US" w:eastAsia="zh-CN"/>
        </w:rPr>
        <w:t>单产提升</w:t>
      </w:r>
      <w:r>
        <w:rPr>
          <w:rFonts w:hint="eastAsia" w:ascii="楷体_GB2312" w:hAnsi="楷体_GB2312" w:eastAsia="楷体_GB2312" w:cs="楷体_GB2312"/>
          <w:b/>
          <w:bCs/>
          <w:spacing w:val="0"/>
          <w:sz w:val="32"/>
          <w:szCs w:val="32"/>
          <w:lang w:eastAsia="zh-CN"/>
        </w:rPr>
        <w:t>。</w:t>
      </w:r>
      <w:r>
        <w:rPr>
          <w:rFonts w:hint="eastAsia" w:ascii="仿宋_GB2312" w:hAnsi="仿宋_GB2312" w:eastAsia="仿宋_GB2312" w:cs="仿宋_GB2312"/>
          <w:b w:val="0"/>
          <w:bCs w:val="0"/>
          <w:sz w:val="32"/>
          <w:szCs w:val="32"/>
          <w:lang w:val="en-US" w:eastAsia="zh-CN"/>
        </w:rPr>
        <w:t>粮食产能提升行动为抓手，聚焦水稻、油菜等重点作物，分品种制定技术方案，推进“五良”系统集成，围绕农业生产环节全要素，耕种管收各环节。培育一批粮油规模种植能手和高产典型，普及推广单</w:t>
      </w:r>
      <w:r>
        <w:rPr>
          <w:rFonts w:hint="eastAsia" w:ascii="仿宋_GB2312" w:hAnsi="仿宋_GB2312" w:eastAsia="仿宋_GB2312" w:cs="仿宋_GB2312"/>
          <w:b w:val="0"/>
          <w:bCs w:val="0"/>
          <w:spacing w:val="-6"/>
          <w:sz w:val="32"/>
          <w:szCs w:val="32"/>
          <w:lang w:val="en-US" w:eastAsia="zh-CN"/>
        </w:rPr>
        <w:t>产提升技术模式，由点到线及面，辐射带动水稻、油菜、芝麻等重点作物区域大面积单产提升。</w:t>
      </w:r>
    </w:p>
    <w:p w14:paraId="11906ED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二、补短板，强支撑，夯实粮油产业发展根基</w:t>
      </w:r>
    </w:p>
    <w:p w14:paraId="54643059">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sz w:val="32"/>
          <w:szCs w:val="32"/>
          <w:lang w:eastAsia="zh-CN"/>
        </w:rPr>
        <w:t>（四）强化耕地保护综合治理。</w:t>
      </w:r>
      <w:r>
        <w:rPr>
          <w:rFonts w:hint="eastAsia" w:ascii="仿宋_GB2312" w:hAnsi="仿宋_GB2312" w:eastAsia="仿宋_GB2312" w:cs="仿宋_GB2312"/>
          <w:spacing w:val="0"/>
          <w:sz w:val="32"/>
          <w:szCs w:val="32"/>
          <w:lang w:val="en-US" w:eastAsia="zh-CN"/>
        </w:rPr>
        <w:t>严格耕地总量管控和占补平衡管理，切实落实补充耕地责任，严守</w:t>
      </w:r>
      <w:r>
        <w:rPr>
          <w:rFonts w:hint="eastAsia" w:ascii="仿宋_GB2312" w:hAnsi="仿宋_GB2312" w:eastAsia="仿宋_GB2312" w:cs="仿宋_GB2312"/>
          <w:spacing w:val="0"/>
          <w:sz w:val="32"/>
          <w:szCs w:val="32"/>
          <w:lang w:eastAsia="zh-CN"/>
        </w:rPr>
        <w:t>耕地保护和永久基本农田保护任务。有序推进撂荒耕地复耕复种和耕地“非粮化”整改复耕，严格落实“大棚房”问题常态化监管，建立健全耕地用途管控监测体系。高质量推进高标准农田建设，抓好高标准农田工程质量和资金安全监管，统筹推进灌区骨干工程与高标准农田灌排体系建设，持续推进农田灌溉“最后一公里”问题整治攻坚行动。加强耕地酸化治理，推广应用种植绿肥、轮作等耕地土壤培肥改良技术，提升耕地质量。</w:t>
      </w:r>
    </w:p>
    <w:p w14:paraId="60299584">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五</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加强良技良机集成应用。</w:t>
      </w:r>
      <w:r>
        <w:rPr>
          <w:rFonts w:hint="eastAsia" w:ascii="仿宋_GB2312" w:hAnsi="仿宋_GB2312" w:eastAsia="仿宋_GB2312" w:cs="仿宋_GB2312"/>
          <w:spacing w:val="0"/>
          <w:sz w:val="32"/>
          <w:szCs w:val="32"/>
          <w:lang w:val="en-US" w:eastAsia="zh-CN"/>
        </w:rPr>
        <w:t>积极整合技术力量，</w:t>
      </w:r>
      <w:r>
        <w:rPr>
          <w:rFonts w:hint="eastAsia" w:ascii="仿宋_GB2312" w:hAnsi="仿宋_GB2312" w:eastAsia="仿宋_GB2312" w:cs="仿宋_GB2312"/>
          <w:b w:val="0"/>
          <w:bCs w:val="0"/>
          <w:spacing w:val="0"/>
          <w:sz w:val="32"/>
          <w:szCs w:val="32"/>
        </w:rPr>
        <w:t>加快科技成果推广应用，</w:t>
      </w:r>
      <w:r>
        <w:rPr>
          <w:rFonts w:hint="eastAsia" w:ascii="仿宋_GB2312" w:hAnsi="仿宋_GB2312" w:eastAsia="仿宋_GB2312" w:cs="仿宋_GB2312"/>
          <w:b w:val="0"/>
          <w:bCs w:val="0"/>
          <w:spacing w:val="0"/>
          <w:sz w:val="32"/>
          <w:szCs w:val="32"/>
          <w:lang w:eastAsia="zh-CN"/>
        </w:rPr>
        <w:t>集成</w:t>
      </w:r>
      <w:r>
        <w:rPr>
          <w:rFonts w:hint="eastAsia" w:ascii="仿宋_GB2312" w:hAnsi="仿宋_GB2312" w:eastAsia="仿宋_GB2312" w:cs="仿宋_GB2312"/>
          <w:b w:val="0"/>
          <w:bCs w:val="0"/>
          <w:spacing w:val="0"/>
          <w:sz w:val="32"/>
          <w:szCs w:val="32"/>
        </w:rPr>
        <w:t>推广水稻集中育秧、“三控”施肥、“一喷多促”和大豆根瘤菌接种、匀播密植、机耕机播机收以及油菜增密、降损、三沟配套、“一促四防”等绿色高产高效技术。加强粮油作物种质资源收集保护，开展高产优质、广适多抗、宜机专用新品种选育推广。持续实施农机装备补短板行动，加快水稻机插、机抛、机防、机烘等农机化集成应用，集成推广油菜免耕或翻耕“条直播”精量播种机、轻简机型或复式作业移栽机、联合收割机或割晒、捡拾割台分段式收获机等高效适用农机装备，创建一批集农业生产与农机服务于一体的综合农事服务中心。</w:t>
      </w:r>
    </w:p>
    <w:p w14:paraId="1D1DC8A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321" w:firstLineChars="100"/>
        <w:jc w:val="both"/>
        <w:textAlignment w:val="baseline"/>
        <w:rPr>
          <w:rFonts w:hint="eastAsia" w:eastAsia="仿宋_GB2312"/>
          <w:u w:val="single"/>
          <w:lang w:eastAsia="zh-CN"/>
        </w:rPr>
      </w:pPr>
      <w:r>
        <w:rPr>
          <w:rFonts w:hint="eastAsia" w:ascii="仿宋_GB2312" w:hAnsi="仿宋_GB2312" w:eastAsia="仿宋_GB2312" w:cs="仿宋_GB2312"/>
          <w:b/>
          <w:bCs/>
          <w:spacing w:val="0"/>
          <w:sz w:val="32"/>
          <w:szCs w:val="32"/>
          <w:lang w:val="en-US" w:eastAsia="zh-CN"/>
        </w:rPr>
        <w:t xml:space="preserve"> </w:t>
      </w:r>
      <w:r>
        <w:rPr>
          <w:rFonts w:hint="eastAsia" w:ascii="楷体_GB2312" w:hAnsi="楷体_GB2312" w:eastAsia="楷体_GB2312" w:cs="楷体_GB2312"/>
          <w:b w:val="0"/>
          <w:bCs w:val="0"/>
          <w:spacing w:val="0"/>
          <w:sz w:val="32"/>
          <w:szCs w:val="32"/>
          <w:lang w:val="en-US" w:eastAsia="zh-CN"/>
        </w:rPr>
        <w:t xml:space="preserve"> </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六</w:t>
      </w:r>
      <w:r>
        <w:rPr>
          <w:rFonts w:hint="eastAsia" w:ascii="楷体_GB2312" w:hAnsi="楷体_GB2312" w:eastAsia="楷体_GB2312" w:cs="楷体_GB2312"/>
          <w:b/>
          <w:bCs/>
          <w:spacing w:val="0"/>
          <w:sz w:val="32"/>
          <w:szCs w:val="32"/>
          <w:lang w:eastAsia="zh-CN"/>
        </w:rPr>
        <w:t>）创优农业生产科技赋能。</w:t>
      </w:r>
      <w:r>
        <w:rPr>
          <w:rFonts w:hint="eastAsia" w:ascii="仿宋_GB2312" w:hAnsi="仿宋_GB2312" w:eastAsia="仿宋_GB2312" w:cs="仿宋_GB2312"/>
          <w:b w:val="0"/>
          <w:bCs w:val="0"/>
          <w:spacing w:val="0"/>
          <w:sz w:val="32"/>
          <w:szCs w:val="32"/>
          <w:lang w:eastAsia="zh-CN"/>
        </w:rPr>
        <w:t>大力发展农业新质生产力，</w:t>
      </w:r>
      <w:r>
        <w:rPr>
          <w:rFonts w:hint="eastAsia" w:ascii="仿宋_GB2312" w:hAnsi="仿宋_GB2312" w:eastAsia="仿宋_GB2312" w:cs="仿宋_GB2312"/>
          <w:b w:val="0"/>
          <w:bCs w:val="0"/>
          <w:spacing w:val="0"/>
          <w:sz w:val="32"/>
          <w:szCs w:val="32"/>
          <w:lang w:val="en-US" w:eastAsia="zh-CN"/>
        </w:rPr>
        <w:t>加</w:t>
      </w:r>
      <w:r>
        <w:rPr>
          <w:rFonts w:hint="eastAsia" w:ascii="仿宋_GB2312" w:hAnsi="仿宋_GB2312" w:eastAsia="仿宋_GB2312" w:cs="仿宋_GB2312"/>
          <w:b w:val="0"/>
          <w:bCs w:val="0"/>
          <w:kern w:val="0"/>
          <w:sz w:val="32"/>
          <w:szCs w:val="32"/>
          <w:lang w:val="en-US" w:eastAsia="zh-CN" w:bidi="ar"/>
        </w:rPr>
        <w:t>强农业技术创新，提升粮油生产效率。引入现代管理理念和方法，创新农业组织形式，推动粮油生产规模化、专业化和市场化。推广秸秆还田等措施，促进资源的循环利用，减少农药化肥的使用，推动粮油生产绿色转型。</w:t>
      </w:r>
    </w:p>
    <w:p w14:paraId="2062491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600" w:lineRule="exact"/>
        <w:ind w:firstLine="643" w:firstLineChars="200"/>
        <w:jc w:val="both"/>
        <w:textAlignment w:val="baseline"/>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b/>
          <w:bCs/>
          <w:spacing w:val="0"/>
          <w:kern w:val="2"/>
          <w:sz w:val="32"/>
          <w:szCs w:val="32"/>
          <w:lang w:val="en-US" w:eastAsia="zh-CN" w:bidi="ar-SA"/>
        </w:rPr>
        <w:t>（七）培植粮食产业市场优势。</w:t>
      </w:r>
      <w:r>
        <w:rPr>
          <w:rFonts w:hint="eastAsia" w:ascii="仿宋_GB2312" w:hAnsi="仿宋_GB2312" w:eastAsia="仿宋_GB2312" w:cs="仿宋_GB2312"/>
          <w:color w:val="000000"/>
          <w:spacing w:val="0"/>
          <w:sz w:val="32"/>
          <w:szCs w:val="32"/>
          <w:lang w:eastAsia="zh-CN"/>
        </w:rPr>
        <w:t>加大龙头企业、农民合作社、家庭农场、专业大户等新型经营主体培育力度，推动发展多种形式的粮油作物适度规模经营。支持各有关主体发展统防统治、机耕机收、集中烘干等生产性服务，提高粮油生产社会化服务水平。打造一批优质粮油生产基地，发展“订单化”生产，立足我区农业生产及生态资源优势，培育如“浮香一号”大米等地方优势品牌。坚持做好“外引内培”文章，积极争取粮油精深加工头部企业进驻，支持做大做强本土企业。加大稻米、油料品牌宣传和营销，参与各类农产品展销、电商、大型商超对接活动，提升市场占有率。</w:t>
      </w:r>
    </w:p>
    <w:p w14:paraId="1653408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lang w:eastAsia="zh-CN"/>
        </w:rPr>
      </w:pPr>
      <w:r>
        <w:rPr>
          <w:rFonts w:hint="eastAsia" w:ascii="黑体" w:hAnsi="黑体" w:eastAsia="黑体" w:cs="黑体"/>
          <w:b w:val="0"/>
          <w:bCs w:val="0"/>
          <w:spacing w:val="0"/>
          <w:sz w:val="32"/>
          <w:szCs w:val="32"/>
          <w:lang w:eastAsia="zh-CN"/>
        </w:rPr>
        <w:t>三、优机制，聚合力，助力粮油生产再创佳绩</w:t>
      </w:r>
    </w:p>
    <w:p w14:paraId="1189149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600" w:lineRule="exact"/>
        <w:ind w:firstLine="643" w:firstLineChars="200"/>
        <w:jc w:val="both"/>
        <w:textAlignment w:val="baseline"/>
        <w:rPr>
          <w:rFonts w:hint="eastAsia" w:ascii="楷体_GB2312" w:hAnsi="楷体_GB2312" w:eastAsia="楷体_GB2312" w:cs="楷体_GB2312"/>
          <w:b w:val="0"/>
          <w:bCs w:val="0"/>
          <w:snapToGrid w:val="0"/>
          <w:color w:val="000000"/>
          <w:spacing w:val="0"/>
          <w:kern w:val="0"/>
          <w:sz w:val="32"/>
          <w:szCs w:val="32"/>
          <w:lang w:eastAsia="zh-CN"/>
        </w:rPr>
      </w:pPr>
      <w:r>
        <w:rPr>
          <w:rFonts w:hint="eastAsia" w:ascii="楷体_GB2312" w:hAnsi="楷体_GB2312" w:eastAsia="楷体_GB2312" w:cs="楷体_GB2312"/>
          <w:b/>
          <w:bCs/>
          <w:spacing w:val="0"/>
          <w:kern w:val="2"/>
          <w:sz w:val="32"/>
          <w:szCs w:val="32"/>
          <w:lang w:val="en-US" w:eastAsia="zh-CN" w:bidi="ar-SA"/>
        </w:rPr>
        <w:t>（八）落实粮油生产扶持政策。</w:t>
      </w:r>
      <w:r>
        <w:rPr>
          <w:rFonts w:hint="eastAsia" w:ascii="仿宋_GB2312" w:hAnsi="仿宋_GB2312" w:eastAsia="仿宋_GB2312" w:cs="仿宋_GB2312"/>
          <w:b w:val="0"/>
          <w:bCs w:val="0"/>
          <w:snapToGrid w:val="0"/>
          <w:color w:val="000000"/>
          <w:kern w:val="0"/>
          <w:sz w:val="32"/>
          <w:szCs w:val="32"/>
          <w:lang w:val="en-US" w:eastAsia="zh-CN" w:bidi="ar"/>
        </w:rPr>
        <w:t>优化耕地地力保护补贴发放机制，对撂荒一年以上的主体取消次年补贴资格。落实稻谷补贴等政策。落实水稻完全成本保险政策，进一步优化保险理赔机制。落实设施农业用地政策，保障种粮经营主体仓储烘干、农机库棚等用地需求。切实做好种子、农药、肥料等重要农资市场供需调度、价格监测、商业化储备和执法监管等工作，为农业生产保驾护航。</w:t>
      </w:r>
    </w:p>
    <w:p w14:paraId="284BEA7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楷体_GB2312" w:hAnsi="楷体_GB2312" w:eastAsia="楷体_GB2312" w:cs="楷体_GB2312"/>
          <w:b/>
          <w:bCs/>
          <w:spacing w:val="0"/>
          <w:kern w:val="2"/>
          <w:sz w:val="32"/>
          <w:szCs w:val="32"/>
          <w:lang w:val="en-US" w:eastAsia="zh-CN" w:bidi="ar-SA"/>
        </w:rPr>
        <w:t>（九）健全减损降耗长效机制。</w:t>
      </w:r>
      <w:r>
        <w:rPr>
          <w:rFonts w:hint="eastAsia" w:ascii="仿宋_GB2312" w:hAnsi="仿宋_GB2312" w:eastAsia="仿宋_GB2312" w:cs="仿宋_GB2312"/>
          <w:b w:val="0"/>
          <w:bCs w:val="0"/>
          <w:snapToGrid w:val="0"/>
          <w:color w:val="000000"/>
          <w:kern w:val="0"/>
          <w:sz w:val="32"/>
          <w:szCs w:val="32"/>
          <w:lang w:val="en-US" w:eastAsia="zh-CN" w:bidi="ar"/>
        </w:rPr>
        <w:t>强化粮食机收减损宣传推广、技术指导和监测巡查，强化机收作业质量标准、技术规范和减损措施。减少粮食存储损失损耗，推动政策性粮油仓储企业规范化管理，提升粮油仓储设施储粮功效。加强粮食运输减损，持续推进粮食“散改集”，发展粮食多式联运，探索应用粮食高效减损物流模式。减少粮食加工损失，引导粮食适度加工，持续推进豆粕减量替代行动，促进粮食高效利用。建立健全粮食损失损耗调查制度，构建覆盖粮食生产、储存、运输、加工和消费各环节的监测和评估机制。</w:t>
      </w:r>
    </w:p>
    <w:p w14:paraId="0B0F5B8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600" w:lineRule="exact"/>
        <w:ind w:firstLine="643" w:firstLineChars="200"/>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kern w:val="2"/>
          <w:sz w:val="32"/>
          <w:szCs w:val="32"/>
          <w:lang w:val="en-US" w:eastAsia="zh-CN" w:bidi="ar-SA"/>
        </w:rPr>
        <w:t>（十）加强防灾减灾能力建设。</w:t>
      </w:r>
      <w:r>
        <w:rPr>
          <w:rFonts w:hint="eastAsia" w:ascii="仿宋_GB2312" w:hAnsi="仿宋_GB2312" w:eastAsia="仿宋_GB2312" w:cs="仿宋_GB2312"/>
          <w:b w:val="0"/>
          <w:bCs w:val="0"/>
          <w:spacing w:val="0"/>
          <w:kern w:val="2"/>
          <w:sz w:val="32"/>
          <w:szCs w:val="32"/>
          <w:lang w:val="en-US" w:eastAsia="zh-CN" w:bidi="ar-SA"/>
        </w:rPr>
        <w:t>强</w:t>
      </w:r>
      <w:r>
        <w:rPr>
          <w:rFonts w:hint="eastAsia" w:ascii="仿宋_GB2312" w:hAnsi="仿宋_GB2312" w:eastAsia="仿宋_GB2312" w:cs="仿宋_GB2312"/>
          <w:b w:val="0"/>
          <w:bCs w:val="0"/>
          <w:spacing w:val="0"/>
          <w:sz w:val="32"/>
          <w:szCs w:val="32"/>
        </w:rPr>
        <w:t>化</w:t>
      </w:r>
      <w:r>
        <w:rPr>
          <w:rFonts w:hint="eastAsia" w:ascii="仿宋_GB2312" w:hAnsi="仿宋_GB2312" w:eastAsia="仿宋_GB2312" w:cs="仿宋_GB2312"/>
          <w:spacing w:val="0"/>
          <w:sz w:val="32"/>
          <w:szCs w:val="32"/>
          <w:lang w:eastAsia="zh-CN"/>
        </w:rPr>
        <w:t>同气象、水利、应急等</w:t>
      </w:r>
      <w:r>
        <w:rPr>
          <w:rFonts w:hint="eastAsia" w:ascii="仿宋_GB2312" w:hAnsi="仿宋_GB2312" w:eastAsia="仿宋_GB2312" w:cs="仿宋_GB2312"/>
          <w:spacing w:val="0"/>
          <w:sz w:val="32"/>
          <w:szCs w:val="32"/>
        </w:rPr>
        <w:t>部门</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沟通会商，健全防灾减灾预警机制。加强自然灾害监测，及时发布预警信息，制定工作预案和技术方案，落实防灾减灾等关键措施，推进科学防灾减灾</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最大限度降低灾害损失</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要</w:t>
      </w:r>
      <w:r>
        <w:rPr>
          <w:rFonts w:hint="eastAsia" w:ascii="仿宋_GB2312" w:hAnsi="仿宋_GB2312" w:eastAsia="仿宋_GB2312" w:cs="仿宋_GB2312"/>
          <w:spacing w:val="0"/>
          <w:sz w:val="32"/>
          <w:szCs w:val="32"/>
          <w:lang w:eastAsia="zh-CN"/>
        </w:rPr>
        <w:t>加强</w:t>
      </w:r>
      <w:r>
        <w:rPr>
          <w:rFonts w:hint="eastAsia" w:ascii="仿宋_GB2312" w:hAnsi="仿宋_GB2312" w:eastAsia="仿宋_GB2312" w:cs="仿宋_GB2312"/>
          <w:spacing w:val="0"/>
          <w:sz w:val="32"/>
          <w:szCs w:val="32"/>
        </w:rPr>
        <w:t>农作物病虫害防控</w:t>
      </w:r>
      <w:r>
        <w:rPr>
          <w:rFonts w:hint="eastAsia" w:ascii="仿宋_GB2312" w:hAnsi="仿宋_GB2312" w:eastAsia="仿宋_GB2312" w:cs="仿宋_GB2312"/>
          <w:spacing w:val="0"/>
          <w:sz w:val="32"/>
          <w:szCs w:val="32"/>
          <w:lang w:eastAsia="zh-CN"/>
        </w:rPr>
        <w:t>体系建设</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支持</w:t>
      </w:r>
      <w:r>
        <w:rPr>
          <w:rFonts w:hint="eastAsia" w:ascii="仿宋_GB2312" w:hAnsi="仿宋_GB2312" w:eastAsia="仿宋_GB2312" w:cs="仿宋_GB2312"/>
          <w:spacing w:val="0"/>
          <w:sz w:val="32"/>
          <w:szCs w:val="32"/>
        </w:rPr>
        <w:t>专业化防治队伍</w:t>
      </w:r>
      <w:r>
        <w:rPr>
          <w:rFonts w:hint="eastAsia" w:ascii="仿宋_GB2312" w:hAnsi="仿宋_GB2312" w:eastAsia="仿宋_GB2312" w:cs="仿宋_GB2312"/>
          <w:spacing w:val="0"/>
          <w:sz w:val="32"/>
          <w:szCs w:val="32"/>
          <w:lang w:eastAsia="zh-CN"/>
        </w:rPr>
        <w:t>发展壮大</w:t>
      </w:r>
      <w:r>
        <w:rPr>
          <w:rFonts w:hint="eastAsia" w:ascii="仿宋_GB2312" w:hAnsi="仿宋_GB2312" w:eastAsia="仿宋_GB2312" w:cs="仿宋_GB2312"/>
          <w:spacing w:val="0"/>
          <w:sz w:val="32"/>
          <w:szCs w:val="32"/>
        </w:rPr>
        <w:t>，统筹推进联防联控、统防统治和应急防治。加强中小型水库除险加固，及时消除水库安全隐患，增强现有水库抗灾保粮能力。加强水利工程设施调度，发挥水利工程设施调蓄功能，努力实现平急水需求相配。</w:t>
      </w:r>
    </w:p>
    <w:p w14:paraId="0B5C9D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eastAsia="zh-CN"/>
        </w:rPr>
        <w:t>（十</w:t>
      </w:r>
      <w:r>
        <w:rPr>
          <w:rFonts w:hint="eastAsia" w:ascii="楷体_GB2312" w:hAnsi="楷体_GB2312" w:eastAsia="楷体_GB2312" w:cs="楷体_GB2312"/>
          <w:b/>
          <w:bCs/>
          <w:spacing w:val="0"/>
          <w:sz w:val="32"/>
          <w:szCs w:val="32"/>
          <w:lang w:val="en-US" w:eastAsia="zh-CN"/>
        </w:rPr>
        <w:t>一</w:t>
      </w:r>
      <w:r>
        <w:rPr>
          <w:rFonts w:hint="eastAsia" w:ascii="楷体_GB2312" w:hAnsi="楷体_GB2312" w:eastAsia="楷体_GB2312" w:cs="楷体_GB2312"/>
          <w:b/>
          <w:bCs/>
          <w:spacing w:val="0"/>
          <w:sz w:val="32"/>
          <w:szCs w:val="32"/>
          <w:lang w:eastAsia="zh-CN"/>
        </w:rPr>
        <w:t>）完善粮油生产工作机制。</w:t>
      </w:r>
      <w:r>
        <w:rPr>
          <w:rFonts w:hint="eastAsia" w:ascii="仿宋_GB2312" w:eastAsia="仿宋_GB2312"/>
          <w:sz w:val="32"/>
          <w:szCs w:val="32"/>
        </w:rPr>
        <w:t>各乡（镇）街道</w:t>
      </w:r>
      <w:r>
        <w:rPr>
          <w:rFonts w:hint="eastAsia" w:ascii="仿宋_GB2312" w:hAnsi="仿宋_GB2312" w:eastAsia="仿宋_GB2312" w:cs="仿宋_GB2312"/>
          <w:snapToGrid w:val="0"/>
          <w:color w:val="000000"/>
          <w:spacing w:val="0"/>
          <w:kern w:val="0"/>
          <w:sz w:val="32"/>
          <w:szCs w:val="32"/>
          <w:lang w:eastAsia="zh-CN"/>
        </w:rPr>
        <w:t>要</w:t>
      </w:r>
      <w:r>
        <w:rPr>
          <w:rFonts w:hint="eastAsia" w:ascii="仿宋_GB2312" w:hAnsi="仿宋_GB2312" w:eastAsia="仿宋_GB2312" w:cs="仿宋_GB2312"/>
          <w:spacing w:val="0"/>
          <w:sz w:val="32"/>
          <w:szCs w:val="32"/>
          <w:lang w:eastAsia="zh-CN"/>
        </w:rPr>
        <w:t>认真落实区委、区政府对粮油生产的工作要求，全力支持和配合区</w:t>
      </w:r>
      <w:r>
        <w:rPr>
          <w:rFonts w:hint="eastAsia" w:ascii="仿宋_GB2312" w:hAnsi="仿宋_GB2312" w:eastAsia="仿宋_GB2312" w:cs="仿宋_GB2312"/>
          <w:spacing w:val="0"/>
          <w:sz w:val="32"/>
          <w:szCs w:val="32"/>
          <w:lang w:val="en-US" w:eastAsia="zh-CN"/>
        </w:rPr>
        <w:t>级</w:t>
      </w:r>
      <w:r>
        <w:rPr>
          <w:rFonts w:hint="eastAsia" w:ascii="仿宋_GB2312" w:hAnsi="仿宋_GB2312" w:eastAsia="仿宋_GB2312" w:cs="仿宋_GB2312"/>
          <w:spacing w:val="0"/>
          <w:sz w:val="32"/>
          <w:szCs w:val="32"/>
          <w:lang w:eastAsia="zh-CN"/>
        </w:rPr>
        <w:t>指导组开展工作，抓实抓细各项工作举措，压紧压实工作责任</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区级粮食油料作物生产指导服务组要结合农时分区域开展粮油生产指导服务工作，保障粮油生产压茬稳步推进。</w:t>
      </w:r>
      <w:r>
        <w:rPr>
          <w:rFonts w:hint="eastAsia" w:ascii="仿宋_GB2312" w:eastAsia="仿宋_GB2312"/>
          <w:sz w:val="32"/>
          <w:szCs w:val="32"/>
        </w:rPr>
        <w:t>各乡（镇）街道</w:t>
      </w:r>
      <w:r>
        <w:rPr>
          <w:rFonts w:hint="eastAsia" w:ascii="仿宋_GB2312" w:hAnsi="仿宋_GB2312" w:eastAsia="仿宋_GB2312" w:cs="仿宋_GB2312"/>
          <w:spacing w:val="0"/>
          <w:sz w:val="32"/>
          <w:szCs w:val="32"/>
          <w:lang w:val="en-US" w:eastAsia="zh-CN"/>
        </w:rPr>
        <w:t>农业农村、</w:t>
      </w:r>
      <w:r>
        <w:rPr>
          <w:rFonts w:hint="eastAsia" w:ascii="仿宋_GB2312" w:hAnsi="仿宋_GB2312" w:eastAsia="仿宋_GB2312" w:cs="仿宋_GB2312"/>
          <w:spacing w:val="0"/>
          <w:sz w:val="32"/>
          <w:szCs w:val="32"/>
          <w:lang w:eastAsia="zh-CN"/>
        </w:rPr>
        <w:t>统计部门要加强沟通联系，相互协作，做好粮油生产形势分析和相关佐证资料的收集整理，做到统有所依、应统尽统。</w:t>
      </w:r>
    </w:p>
    <w:p w14:paraId="3B99A2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p>
    <w:p w14:paraId="104BE4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昌江区</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年粮</w:t>
      </w:r>
      <w:r>
        <w:rPr>
          <w:rFonts w:hint="eastAsia" w:ascii="仿宋_GB2312" w:hAnsi="仿宋_GB2312" w:eastAsia="仿宋_GB2312" w:cs="仿宋_GB2312"/>
          <w:spacing w:val="0"/>
          <w:sz w:val="32"/>
          <w:szCs w:val="32"/>
          <w:lang w:eastAsia="zh-CN"/>
        </w:rPr>
        <w:t>食</w:t>
      </w:r>
      <w:r>
        <w:rPr>
          <w:rFonts w:hint="eastAsia" w:ascii="仿宋_GB2312" w:hAnsi="仿宋_GB2312" w:eastAsia="仿宋_GB2312" w:cs="仿宋_GB2312"/>
          <w:spacing w:val="0"/>
          <w:sz w:val="32"/>
          <w:szCs w:val="32"/>
        </w:rPr>
        <w:t>生产目标任务安排表</w:t>
      </w:r>
    </w:p>
    <w:p w14:paraId="18320AB3">
      <w:pPr>
        <w:keepNext w:val="0"/>
        <w:keepLines w:val="0"/>
        <w:pageBreakBefore w:val="0"/>
        <w:widowControl/>
        <w:wordWrap/>
        <w:overflowPunct/>
        <w:topLinePunct w:val="0"/>
        <w:bidi w:val="0"/>
        <w:spacing w:line="600" w:lineRule="exact"/>
        <w:jc w:val="left"/>
        <w:rPr>
          <w:rFonts w:hint="eastAsia" w:ascii="仿宋_GB2312" w:hAnsi="仿宋_GB2312" w:eastAsia="仿宋_GB2312" w:cs="仿宋_GB2312"/>
          <w:color w:val="000000"/>
          <w:kern w:val="0"/>
          <w:sz w:val="32"/>
          <w:szCs w:val="32"/>
          <w:lang w:bidi="ar"/>
        </w:rPr>
      </w:pPr>
    </w:p>
    <w:p w14:paraId="1286195B">
      <w:pPr>
        <w:keepNext w:val="0"/>
        <w:keepLines w:val="0"/>
        <w:pageBreakBefore w:val="0"/>
        <w:widowControl/>
        <w:wordWrap/>
        <w:overflowPunct/>
        <w:topLinePunct w:val="0"/>
        <w:bidi w:val="0"/>
        <w:spacing w:line="600" w:lineRule="exact"/>
        <w:jc w:val="left"/>
        <w:rPr>
          <w:rFonts w:hint="eastAsia" w:ascii="仿宋_GB2312" w:hAnsi="仿宋_GB2312" w:eastAsia="仿宋_GB2312" w:cs="仿宋_GB2312"/>
          <w:color w:val="000000"/>
          <w:kern w:val="0"/>
          <w:sz w:val="32"/>
          <w:szCs w:val="32"/>
          <w:lang w:bidi="ar"/>
        </w:rPr>
      </w:pPr>
    </w:p>
    <w:p w14:paraId="325999AF">
      <w:pPr>
        <w:keepNext w:val="0"/>
        <w:keepLines w:val="0"/>
        <w:pageBreakBefore w:val="0"/>
        <w:widowControl/>
        <w:wordWrap/>
        <w:overflowPunct/>
        <w:topLinePunct w:val="0"/>
        <w:bidi w:val="0"/>
        <w:spacing w:line="600" w:lineRule="exact"/>
        <w:jc w:val="left"/>
        <w:rPr>
          <w:rFonts w:hint="eastAsia" w:ascii="仿宋_GB2312" w:hAnsi="仿宋_GB2312" w:eastAsia="仿宋_GB2312" w:cs="仿宋_GB2312"/>
          <w:color w:val="000000"/>
          <w:kern w:val="0"/>
          <w:sz w:val="32"/>
          <w:szCs w:val="32"/>
          <w:lang w:bidi="ar"/>
        </w:rPr>
      </w:pPr>
    </w:p>
    <w:p w14:paraId="35A5E213">
      <w:pPr>
        <w:keepNext w:val="0"/>
        <w:keepLines w:val="0"/>
        <w:pageBreakBefore w:val="0"/>
        <w:widowControl/>
        <w:wordWrap/>
        <w:overflowPunct/>
        <w:topLinePunct w:val="0"/>
        <w:bidi w:val="0"/>
        <w:spacing w:line="60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昌江区</w:t>
      </w:r>
      <w:r>
        <w:rPr>
          <w:rFonts w:hint="eastAsia" w:ascii="仿宋_GB2312" w:hAnsi="仿宋_GB2312" w:eastAsia="仿宋_GB2312" w:cs="仿宋_GB2312"/>
          <w:color w:val="000000"/>
          <w:kern w:val="0"/>
          <w:sz w:val="32"/>
          <w:szCs w:val="32"/>
          <w:lang w:val="en-US" w:eastAsia="zh-CN" w:bidi="ar"/>
        </w:rPr>
        <w:t>人民政府办公室</w:t>
      </w:r>
    </w:p>
    <w:p w14:paraId="3A05C8FA">
      <w:pPr>
        <w:keepNext w:val="0"/>
        <w:keepLines w:val="0"/>
        <w:pageBreakBefore w:val="0"/>
        <w:widowControl/>
        <w:wordWrap/>
        <w:overflowPunct/>
        <w:topLinePunct w:val="0"/>
        <w:bidi w:val="0"/>
        <w:spacing w:line="600" w:lineRule="exact"/>
        <w:ind w:firstLine="5280" w:firstLineChars="165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lang w:val="en-US" w:eastAsia="zh-CN" w:bidi="ar"/>
        </w:rPr>
        <w:t>4月28日</w:t>
      </w:r>
    </w:p>
    <w:p w14:paraId="0BE7CD43">
      <w:pPr>
        <w:widowControl/>
        <w:ind w:firstLine="4640" w:firstLineChars="1450"/>
        <w:jc w:val="left"/>
        <w:rPr>
          <w:rFonts w:hint="eastAsia" w:ascii="仿宋_GB2312" w:hAnsi="仿宋_GB2312" w:eastAsia="仿宋_GB2312" w:cs="仿宋_GB2312"/>
          <w:color w:val="000000"/>
          <w:kern w:val="0"/>
          <w:sz w:val="32"/>
          <w:szCs w:val="32"/>
          <w:lang w:bidi="ar"/>
        </w:rPr>
      </w:pPr>
    </w:p>
    <w:p w14:paraId="61A04E3D">
      <w:pPr>
        <w:widowControl/>
        <w:jc w:val="left"/>
        <w:rPr>
          <w:rFonts w:hint="eastAsia" w:ascii="仿宋_GB2312" w:hAnsi="仿宋_GB2312" w:eastAsia="仿宋_GB2312" w:cs="仿宋_GB2312"/>
          <w:color w:val="000000"/>
          <w:kern w:val="0"/>
          <w:sz w:val="32"/>
          <w:szCs w:val="32"/>
          <w:lang w:bidi="ar"/>
        </w:rPr>
      </w:pPr>
    </w:p>
    <w:p w14:paraId="100009AA">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1CF941F">
      <w:pPr>
        <w:rPr>
          <w:rFonts w:hint="eastAsia" w:ascii="黑体" w:hAnsi="黑体" w:eastAsia="黑体" w:cs="黑体"/>
          <w:sz w:val="32"/>
          <w:szCs w:val="32"/>
          <w:lang w:val="en-US" w:eastAsia="zh-CN"/>
        </w:rPr>
      </w:pPr>
    </w:p>
    <w:p w14:paraId="22B5CDC0">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昌江区2025年粮食油料生产目标任务表</w:t>
      </w:r>
    </w:p>
    <w:p w14:paraId="4EB73741">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单位：万亩、万斤</w:t>
      </w:r>
    </w:p>
    <w:tbl>
      <w:tblPr>
        <w:tblStyle w:val="24"/>
        <w:tblpPr w:leftFromText="180" w:rightFromText="180" w:vertAnchor="text" w:horzAnchor="page" w:tblpX="1515" w:tblpY="57"/>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022"/>
        <w:gridCol w:w="919"/>
        <w:gridCol w:w="938"/>
        <w:gridCol w:w="912"/>
        <w:gridCol w:w="888"/>
        <w:gridCol w:w="950"/>
        <w:gridCol w:w="975"/>
        <w:gridCol w:w="1005"/>
      </w:tblGrid>
      <w:tr w14:paraId="3F46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Merge w:val="restart"/>
            <w:vAlign w:val="center"/>
          </w:tcPr>
          <w:p w14:paraId="0E3101AC">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乡镇  （街道）</w:t>
            </w:r>
          </w:p>
        </w:tc>
        <w:tc>
          <w:tcPr>
            <w:tcW w:w="5629" w:type="dxa"/>
            <w:gridSpan w:val="6"/>
            <w:vAlign w:val="center"/>
          </w:tcPr>
          <w:p w14:paraId="1C46D158">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粮食作物</w:t>
            </w:r>
          </w:p>
        </w:tc>
        <w:tc>
          <w:tcPr>
            <w:tcW w:w="1980" w:type="dxa"/>
            <w:gridSpan w:val="2"/>
            <w:vAlign w:val="center"/>
          </w:tcPr>
          <w:p w14:paraId="61D8C13A">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油料作物</w:t>
            </w:r>
          </w:p>
        </w:tc>
      </w:tr>
      <w:tr w14:paraId="6AD6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Merge w:val="continue"/>
            <w:vAlign w:val="center"/>
          </w:tcPr>
          <w:p w14:paraId="79873D8C">
            <w:pPr>
              <w:jc w:val="center"/>
              <w:rPr>
                <w:rFonts w:hint="eastAsia" w:ascii="黑体" w:hAnsi="黑体" w:eastAsia="黑体" w:cs="黑体"/>
                <w:b w:val="0"/>
                <w:bCs w:val="0"/>
                <w:sz w:val="30"/>
                <w:szCs w:val="30"/>
                <w:vertAlign w:val="baseline"/>
                <w:lang w:val="en-US" w:eastAsia="zh-CN"/>
              </w:rPr>
            </w:pPr>
          </w:p>
        </w:tc>
        <w:tc>
          <w:tcPr>
            <w:tcW w:w="1022" w:type="dxa"/>
            <w:vAlign w:val="center"/>
          </w:tcPr>
          <w:p w14:paraId="202FA335">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粮食面积</w:t>
            </w:r>
          </w:p>
        </w:tc>
        <w:tc>
          <w:tcPr>
            <w:tcW w:w="919" w:type="dxa"/>
            <w:vAlign w:val="center"/>
          </w:tcPr>
          <w:p w14:paraId="7EEA1895">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粮食产量</w:t>
            </w:r>
          </w:p>
        </w:tc>
        <w:tc>
          <w:tcPr>
            <w:tcW w:w="938" w:type="dxa"/>
            <w:vAlign w:val="center"/>
          </w:tcPr>
          <w:p w14:paraId="7F1DF927">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早稻面积</w:t>
            </w:r>
          </w:p>
        </w:tc>
        <w:tc>
          <w:tcPr>
            <w:tcW w:w="912" w:type="dxa"/>
            <w:vAlign w:val="center"/>
          </w:tcPr>
          <w:p w14:paraId="64346747">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大豆面积</w:t>
            </w:r>
          </w:p>
        </w:tc>
        <w:tc>
          <w:tcPr>
            <w:tcW w:w="888" w:type="dxa"/>
            <w:vAlign w:val="center"/>
          </w:tcPr>
          <w:p w14:paraId="000A704F">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水稻面积</w:t>
            </w:r>
          </w:p>
        </w:tc>
        <w:tc>
          <w:tcPr>
            <w:tcW w:w="950" w:type="dxa"/>
            <w:vAlign w:val="center"/>
          </w:tcPr>
          <w:p w14:paraId="566F641A">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旱粮面积</w:t>
            </w:r>
          </w:p>
        </w:tc>
        <w:tc>
          <w:tcPr>
            <w:tcW w:w="975" w:type="dxa"/>
            <w:vAlign w:val="center"/>
          </w:tcPr>
          <w:p w14:paraId="53FA17FF">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油料面积</w:t>
            </w:r>
          </w:p>
        </w:tc>
        <w:tc>
          <w:tcPr>
            <w:tcW w:w="1005" w:type="dxa"/>
            <w:vAlign w:val="center"/>
          </w:tcPr>
          <w:p w14:paraId="6EB0E1F3">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油菜面积</w:t>
            </w:r>
          </w:p>
        </w:tc>
      </w:tr>
      <w:tr w14:paraId="6795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Align w:val="center"/>
          </w:tcPr>
          <w:p w14:paraId="3BB0662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鲇鱼山镇</w:t>
            </w:r>
          </w:p>
        </w:tc>
        <w:tc>
          <w:tcPr>
            <w:tcW w:w="1022" w:type="dxa"/>
            <w:vAlign w:val="center"/>
          </w:tcPr>
          <w:p w14:paraId="3C01552B">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3.89</w:t>
            </w:r>
          </w:p>
        </w:tc>
        <w:tc>
          <w:tcPr>
            <w:tcW w:w="919" w:type="dxa"/>
            <w:vAlign w:val="center"/>
          </w:tcPr>
          <w:p w14:paraId="584E0CB1">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2769</w:t>
            </w:r>
          </w:p>
        </w:tc>
        <w:tc>
          <w:tcPr>
            <w:tcW w:w="938" w:type="dxa"/>
            <w:vAlign w:val="center"/>
          </w:tcPr>
          <w:p w14:paraId="2D55C716">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0.5</w:t>
            </w:r>
          </w:p>
        </w:tc>
        <w:tc>
          <w:tcPr>
            <w:tcW w:w="912" w:type="dxa"/>
            <w:vAlign w:val="center"/>
          </w:tcPr>
          <w:p w14:paraId="1053F18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0.17</w:t>
            </w:r>
          </w:p>
        </w:tc>
        <w:tc>
          <w:tcPr>
            <w:tcW w:w="888" w:type="dxa"/>
            <w:vAlign w:val="center"/>
          </w:tcPr>
          <w:p w14:paraId="4D39B57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3.69</w:t>
            </w:r>
          </w:p>
        </w:tc>
        <w:tc>
          <w:tcPr>
            <w:tcW w:w="950" w:type="dxa"/>
            <w:vAlign w:val="center"/>
          </w:tcPr>
          <w:p w14:paraId="7017C331">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0.2</w:t>
            </w:r>
          </w:p>
        </w:tc>
        <w:tc>
          <w:tcPr>
            <w:tcW w:w="975" w:type="dxa"/>
            <w:vAlign w:val="center"/>
          </w:tcPr>
          <w:p w14:paraId="68D649E9">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1.49</w:t>
            </w:r>
          </w:p>
        </w:tc>
        <w:tc>
          <w:tcPr>
            <w:tcW w:w="1005" w:type="dxa"/>
            <w:vAlign w:val="center"/>
          </w:tcPr>
          <w:p w14:paraId="4B7216A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1.25</w:t>
            </w:r>
          </w:p>
        </w:tc>
      </w:tr>
      <w:tr w14:paraId="0AE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Align w:val="center"/>
          </w:tcPr>
          <w:p w14:paraId="4D6C7AD9">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丽阳镇</w:t>
            </w:r>
          </w:p>
        </w:tc>
        <w:tc>
          <w:tcPr>
            <w:tcW w:w="1022" w:type="dxa"/>
            <w:vAlign w:val="center"/>
          </w:tcPr>
          <w:p w14:paraId="7890F489">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3.4</w:t>
            </w:r>
          </w:p>
        </w:tc>
        <w:tc>
          <w:tcPr>
            <w:tcW w:w="919" w:type="dxa"/>
            <w:vAlign w:val="center"/>
          </w:tcPr>
          <w:p w14:paraId="0A8D5A3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2490</w:t>
            </w:r>
          </w:p>
        </w:tc>
        <w:tc>
          <w:tcPr>
            <w:tcW w:w="938" w:type="dxa"/>
            <w:vAlign w:val="center"/>
          </w:tcPr>
          <w:p w14:paraId="44C6F8D4">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0.45</w:t>
            </w:r>
          </w:p>
        </w:tc>
        <w:tc>
          <w:tcPr>
            <w:tcW w:w="912" w:type="dxa"/>
            <w:vAlign w:val="center"/>
          </w:tcPr>
          <w:p w14:paraId="1A11D5D1">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0.16</w:t>
            </w:r>
          </w:p>
        </w:tc>
        <w:tc>
          <w:tcPr>
            <w:tcW w:w="888" w:type="dxa"/>
            <w:vAlign w:val="center"/>
          </w:tcPr>
          <w:p w14:paraId="62BBDDD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3.2</w:t>
            </w:r>
          </w:p>
        </w:tc>
        <w:tc>
          <w:tcPr>
            <w:tcW w:w="950" w:type="dxa"/>
            <w:vAlign w:val="center"/>
          </w:tcPr>
          <w:p w14:paraId="553D6B16">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0.2</w:t>
            </w:r>
          </w:p>
        </w:tc>
        <w:tc>
          <w:tcPr>
            <w:tcW w:w="975" w:type="dxa"/>
            <w:vAlign w:val="center"/>
          </w:tcPr>
          <w:p w14:paraId="62AE09A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1.3</w:t>
            </w:r>
          </w:p>
        </w:tc>
        <w:tc>
          <w:tcPr>
            <w:tcW w:w="1005" w:type="dxa"/>
            <w:vAlign w:val="center"/>
          </w:tcPr>
          <w:p w14:paraId="0620081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1.1</w:t>
            </w:r>
          </w:p>
        </w:tc>
      </w:tr>
      <w:tr w14:paraId="692D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Align w:val="center"/>
          </w:tcPr>
          <w:p w14:paraId="329CF44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荷塘乡</w:t>
            </w:r>
          </w:p>
        </w:tc>
        <w:tc>
          <w:tcPr>
            <w:tcW w:w="1022" w:type="dxa"/>
            <w:vAlign w:val="center"/>
          </w:tcPr>
          <w:p w14:paraId="2F30553A">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0.31</w:t>
            </w:r>
          </w:p>
        </w:tc>
        <w:tc>
          <w:tcPr>
            <w:tcW w:w="919" w:type="dxa"/>
            <w:vAlign w:val="center"/>
          </w:tcPr>
          <w:p w14:paraId="4BB9ACC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189</w:t>
            </w:r>
          </w:p>
        </w:tc>
        <w:tc>
          <w:tcPr>
            <w:tcW w:w="938" w:type="dxa"/>
            <w:vAlign w:val="center"/>
          </w:tcPr>
          <w:p w14:paraId="3CBD901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0.05</w:t>
            </w:r>
          </w:p>
        </w:tc>
        <w:tc>
          <w:tcPr>
            <w:tcW w:w="912" w:type="dxa"/>
            <w:vAlign w:val="center"/>
          </w:tcPr>
          <w:p w14:paraId="6D1E38C6">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888" w:type="dxa"/>
            <w:vAlign w:val="center"/>
          </w:tcPr>
          <w:p w14:paraId="63B94EB2">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0.3</w:t>
            </w:r>
          </w:p>
        </w:tc>
        <w:tc>
          <w:tcPr>
            <w:tcW w:w="950" w:type="dxa"/>
            <w:vAlign w:val="center"/>
          </w:tcPr>
          <w:p w14:paraId="60CEB9C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0.01</w:t>
            </w:r>
          </w:p>
        </w:tc>
        <w:tc>
          <w:tcPr>
            <w:tcW w:w="975" w:type="dxa"/>
            <w:vAlign w:val="center"/>
          </w:tcPr>
          <w:p w14:paraId="4E403D76">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0.17</w:t>
            </w:r>
          </w:p>
        </w:tc>
        <w:tc>
          <w:tcPr>
            <w:tcW w:w="1005" w:type="dxa"/>
            <w:vAlign w:val="center"/>
          </w:tcPr>
          <w:p w14:paraId="5E24D6FF">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0.15</w:t>
            </w:r>
          </w:p>
        </w:tc>
      </w:tr>
      <w:tr w14:paraId="4A5E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Align w:val="center"/>
          </w:tcPr>
          <w:p w14:paraId="6CAF86C3">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吕蒙街道</w:t>
            </w:r>
          </w:p>
        </w:tc>
        <w:tc>
          <w:tcPr>
            <w:tcW w:w="1022" w:type="dxa"/>
            <w:vAlign w:val="center"/>
          </w:tcPr>
          <w:p w14:paraId="047ABA02">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0.05</w:t>
            </w:r>
          </w:p>
        </w:tc>
        <w:tc>
          <w:tcPr>
            <w:tcW w:w="919" w:type="dxa"/>
            <w:vAlign w:val="center"/>
          </w:tcPr>
          <w:p w14:paraId="601CD7F9">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52</w:t>
            </w:r>
          </w:p>
        </w:tc>
        <w:tc>
          <w:tcPr>
            <w:tcW w:w="938" w:type="dxa"/>
            <w:vAlign w:val="center"/>
          </w:tcPr>
          <w:p w14:paraId="644CFA10">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912" w:type="dxa"/>
            <w:vAlign w:val="center"/>
          </w:tcPr>
          <w:p w14:paraId="2DC2ADFE">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888" w:type="dxa"/>
            <w:vAlign w:val="center"/>
          </w:tcPr>
          <w:p w14:paraId="0388F24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0.05</w:t>
            </w:r>
          </w:p>
        </w:tc>
        <w:tc>
          <w:tcPr>
            <w:tcW w:w="950" w:type="dxa"/>
            <w:vAlign w:val="center"/>
          </w:tcPr>
          <w:p w14:paraId="4E24151F">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975" w:type="dxa"/>
            <w:vAlign w:val="center"/>
          </w:tcPr>
          <w:p w14:paraId="2376BBC4">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1005" w:type="dxa"/>
            <w:vAlign w:val="center"/>
          </w:tcPr>
          <w:p w14:paraId="316E7A65">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r>
      <w:tr w14:paraId="2555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429" w:type="dxa"/>
            <w:vAlign w:val="center"/>
          </w:tcPr>
          <w:p w14:paraId="6E906F0B">
            <w:pPr>
              <w:jc w:val="center"/>
              <w:rPr>
                <w:rFonts w:hint="eastAsia" w:ascii="仿宋" w:hAnsi="仿宋" w:eastAsia="仿宋" w:cs="仿宋"/>
                <w:sz w:val="30"/>
                <w:szCs w:val="30"/>
                <w:vertAlign w:val="baseline"/>
                <w:lang w:val="en-US" w:eastAsia="zh-CN"/>
              </w:rPr>
            </w:pPr>
            <w:r>
              <w:rPr>
                <w:rFonts w:hint="eastAsia" w:ascii="仿宋" w:hAnsi="仿宋" w:eastAsia="仿宋" w:cs="仿宋"/>
                <w:b/>
                <w:bCs/>
                <w:sz w:val="30"/>
                <w:szCs w:val="30"/>
                <w:vertAlign w:val="baseline"/>
                <w:lang w:val="en-US" w:eastAsia="zh-CN"/>
              </w:rPr>
              <w:t>合计</w:t>
            </w:r>
          </w:p>
        </w:tc>
        <w:tc>
          <w:tcPr>
            <w:tcW w:w="1022" w:type="dxa"/>
            <w:vAlign w:val="center"/>
          </w:tcPr>
          <w:p w14:paraId="0C74A506">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7.65</w:t>
            </w:r>
          </w:p>
        </w:tc>
        <w:tc>
          <w:tcPr>
            <w:tcW w:w="919" w:type="dxa"/>
            <w:vAlign w:val="center"/>
          </w:tcPr>
          <w:p w14:paraId="7ADE1A8E">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5500</w:t>
            </w:r>
          </w:p>
        </w:tc>
        <w:tc>
          <w:tcPr>
            <w:tcW w:w="938" w:type="dxa"/>
            <w:vAlign w:val="center"/>
          </w:tcPr>
          <w:p w14:paraId="34CCF019">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w:t>
            </w:r>
          </w:p>
        </w:tc>
        <w:tc>
          <w:tcPr>
            <w:tcW w:w="912" w:type="dxa"/>
            <w:vAlign w:val="center"/>
          </w:tcPr>
          <w:p w14:paraId="46550759">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0.33</w:t>
            </w:r>
          </w:p>
        </w:tc>
        <w:tc>
          <w:tcPr>
            <w:tcW w:w="888" w:type="dxa"/>
            <w:vAlign w:val="center"/>
          </w:tcPr>
          <w:p w14:paraId="5BF6A1DD">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7.24</w:t>
            </w:r>
          </w:p>
        </w:tc>
        <w:tc>
          <w:tcPr>
            <w:tcW w:w="950" w:type="dxa"/>
            <w:vAlign w:val="center"/>
          </w:tcPr>
          <w:p w14:paraId="2A0C4EB3">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0.41</w:t>
            </w:r>
          </w:p>
        </w:tc>
        <w:tc>
          <w:tcPr>
            <w:tcW w:w="975" w:type="dxa"/>
            <w:vAlign w:val="center"/>
          </w:tcPr>
          <w:p w14:paraId="2AA29681">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2.96</w:t>
            </w:r>
          </w:p>
        </w:tc>
        <w:tc>
          <w:tcPr>
            <w:tcW w:w="1005" w:type="dxa"/>
            <w:vAlign w:val="center"/>
          </w:tcPr>
          <w:p w14:paraId="5E507404">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2.5</w:t>
            </w:r>
          </w:p>
        </w:tc>
      </w:tr>
    </w:tbl>
    <w:p w14:paraId="12122CC2">
      <w:pPr>
        <w:rPr>
          <w:rFonts w:ascii="Arial" w:hAnsi="Arial" w:eastAsia="Arial" w:cs="Arial"/>
          <w:sz w:val="21"/>
          <w:szCs w:val="21"/>
        </w:rPr>
        <w:sectPr>
          <w:headerReference r:id="rId18" w:type="default"/>
          <w:footerReference r:id="rId20" w:type="default"/>
          <w:headerReference r:id="rId19" w:type="even"/>
          <w:footerReference r:id="rId21" w:type="even"/>
          <w:pgSz w:w="11900" w:h="16830"/>
          <w:pgMar w:top="1440" w:right="1417" w:bottom="1440" w:left="1417" w:header="0" w:footer="1417" w:gutter="0"/>
          <w:pgNumType w:fmt="decimal" w:start="1"/>
          <w:cols w:space="720" w:num="1"/>
        </w:sectPr>
      </w:pPr>
    </w:p>
    <w:p w14:paraId="4D92269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63</w:t>
      </w:r>
      <w:r>
        <w:rPr>
          <w:rFonts w:hint="eastAsia" w:ascii="方正小标宋简体" w:hAnsi="方正小标宋简体" w:eastAsia="方正小标宋简体" w:cs="方正小标宋简体"/>
          <w:sz w:val="44"/>
          <w:szCs w:val="44"/>
        </w:rPr>
        <w:t>次常务会议召开</w:t>
      </w:r>
    </w:p>
    <w:p w14:paraId="6C60894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038584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3月19日，十一届昌江区政府第63次常务会召开，传达学习习近平总书记近期重要讲话精神，省、市有关会议精神以及近期有关文件精神，研究部署当前及下一阶段重点工作。区委副书记、区政府党组书记、区长伊文斌主持会议并讲话。</w:t>
      </w:r>
    </w:p>
    <w:p w14:paraId="599922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全国两会期间的重要讲话精神以及全国两会精神。会议强调，习近平总书记在全国两会期间的重要讲话，为我们做好经济社会发展各项工作提供了重要遵循。要深入学习贯彻习近平总书记重要讲话精神，深刻领会关于发展新质生产力、推进深层次改革和高水平开放、强化教育对科技和人才支撑作用、促进全体人民共同富裕、统筹好发展和安全等重要要求，不断开创经济社会发展新局面。要切实把思想和行动统一到习近平总书记重要讲话和全国两会精神上来，结合实际抓好贯彻落实，转化为改革实效、发展实绩。</w:t>
      </w:r>
    </w:p>
    <w:p w14:paraId="3534AC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主持召开省委审计委第十三次会议时的讲话精神。会议强调，全区审计机关要把思想和行动统一到省委对审计工作的部署要求上来，坚持经济监督定位，深化改革创新，提升工作质效，以高质量审计监督护航昌江经济社会高质量发展。</w:t>
      </w:r>
    </w:p>
    <w:p w14:paraId="757F99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领导对审计厅2024年部分县（市、区）EPC建设模式公共工程专项审计调查发现问题的指示批示精神，听取专项审计整改情况。会议强调，各责任单位要严格落实整改主体责任，主要负责人要扛牢第一责任人责任，狠抓工作落实。要以解决问题为核心，以优质高效为导向，通畅工作渠道，紧密整改节奏，切实提高整改效率。要把握好“质”与“效”的关系，聚力做好审计整改“后半篇文章”，推动问题彻底整改、闭环销号。</w:t>
      </w:r>
    </w:p>
    <w:p w14:paraId="7D1072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市提振消费大会会议精神。会议强调，要举全区之力办好“1819陶瓷嘉年华”，以会展经济激发消费活力。要抢抓以旧换新政策“加力扩围”契机，持续开展各类促消费活动，全面提振汽车、家电、家居家装等大宗消费。要推动文旅消费提质扩容，涵盖“吃住行游购娱”各个方面，吸引八方游客来昌江旅游观光。要积极开拓消费新业态、新模式、新场景，打造多元化、差异化、特色化、品质化的新型消费业态，给市民和游客带来更多创意十足、独具特色的消费体验，进一步激发消费活力和消费需求，促进消费市场繁荣活跃。</w:t>
      </w:r>
    </w:p>
    <w:p w14:paraId="4C17A0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十四届全国人大三次会议江西代表团审议政府工作报告上及香港经济导报的讲话和工作要求。会议强调，要始终牢记习近平总书记殷殷嘱托，以国家试验区建设为统领，按照省市决策部署，发挥昌江比较优势，在文物保护利用、非遗保护传承、陶瓷产业升级、文旅融合发展、对外文化交流等方面下更大力气，持续加强陶瓷文化的传承发展，为奋力把“千年瓷都”这张靓丽的名片擦得更亮贡献昌江力量。</w:t>
      </w:r>
    </w:p>
    <w:p w14:paraId="553458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市委、市政府重要会议精神和市领导讲话、指示要求，近期重要法规及重要文件；传达学习了江西省人民政府办公厅关于印发《江西省提振消费行动方案》的通知，研究昌江区贯彻落实意见；审议了《昌江区 2025 年安全生产工作要点》、关于实施景德镇市昌江区住宅小区二次供水及管网设施改造项目事宜。</w:t>
      </w:r>
    </w:p>
    <w:p w14:paraId="59BC08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57EDF983"/>
    <w:p w14:paraId="18A05540">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1DA0D7F">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254471BA">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652A0160">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30D3752E">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C9C6DC7">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5657D3ED">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3D467726">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23CBB39">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C98294E">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32164594">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1DC57B15">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FC29C37">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4E36BDCE">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7E8A69F4">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7556735F">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63EED1AB">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48B0169C">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3FC0D536">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7C18DFB3">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21F7AC30">
      <w:pPr>
        <w:pStyle w:val="8"/>
        <w:rPr>
          <w:rFonts w:hint="eastAsia"/>
        </w:rPr>
      </w:pPr>
    </w:p>
    <w:p w14:paraId="4D267458">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64</w:t>
      </w:r>
      <w:r>
        <w:rPr>
          <w:rFonts w:hint="eastAsia" w:ascii="方正小标宋简体" w:hAnsi="方正小标宋简体" w:eastAsia="方正小标宋简体" w:cs="方正小标宋简体"/>
          <w:sz w:val="44"/>
          <w:szCs w:val="44"/>
        </w:rPr>
        <w:t>次常务会议召开</w:t>
      </w:r>
    </w:p>
    <w:p w14:paraId="6A3F6ED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185EF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3月28日，十一届昌江区政府第64次常务会召开，传达学习习近平总书记近期重要讲话精神，省、市有关会议精神以及近期有关文件精神，研究部署当前及下一阶段重点工作。区委副书记、区政府党组书记、区长伊文斌主持会议并讲话。</w:t>
      </w:r>
    </w:p>
    <w:p w14:paraId="703F7F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贵州、云南考察时的重要讲话精神。会议强调，要深刻把握高质量发展是中国式现代化的必然要求，紧密结合昌江实际，扎实推进高质量发展，促进传统产业改造升级，积极开辟战略性新兴产业、未来产业新赛道，加快形成新质生产力。着力优化营商环境，扩大高水平对外开放。推动城乡融合发展，把推进新型城镇化和乡村全面振兴有机结合起来。坚持生态优先、绿色发展，不断提高生态环境质量。</w:t>
      </w:r>
    </w:p>
    <w:p w14:paraId="5833E0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求是》杂志发表的习近平总书记重要文章《坚持和落实“两个毫不动摇”》。会议强调，坚持和落实“两个毫不动摇”，是坚持和完善社会主义基本经济制度的重要内容。全区上下要全面学习领会习近平总书记重要文章的核心要义和实践要求，深刻领会“两个毫不动摇”的精神实质、丰富内涵和实践要求。要加强党对民营经济工作的领导，深化“放管服”改革，提升服务效能。要规范政商交往，构建“亲”“清”新型政商关系，为民营经济发展保驾护航。</w:t>
      </w:r>
    </w:p>
    <w:p w14:paraId="3A8C3B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全省巡视巡察工作会议暨十五届省委第七轮巡视动员部署会上的讲话精神。会议强调，要树牢结果导向，聚焦全区中心工作、重点任务，紧盯政策落地、责任落实、改进作风等方面，加强对重点领域和关键环节监督，持续提升巡察工作质效。要紧盯公务用车、公务接待、办文办会等重点，真巡真查、严抓严管。要扎实做好巡察“后半篇文章”，把问题整改与干部作风整顿、班子建设、全面从严治党等工作结合起来，举一反三，推动形成监督、整改、治理良性循环。</w:t>
      </w:r>
    </w:p>
    <w:p w14:paraId="080343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十二届市委第97次常委会会议上的讲话要求。会议强调，要按照市委有关决策部署和工作要求，紧紧围绕国有“三资”、义务教育管理体制改革等重点，以“钉钉子”精神抓好改革任务落细落实。要抢抓国家政策利好机遇，持续巩固“争资争项争政策”工作良好态势，确保圆满完成各项工作任务。要聚焦全市中心工作、服务发展大局，进一步强化人才支撑，以高素质干部队伍助推经济社会高质量发展。</w:t>
      </w:r>
    </w:p>
    <w:p w14:paraId="42B299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申遗攻坚工作流动现场会会议精神。会议强调，要锚定申遗工作目标，进一步实化细化时间节点的重点任务，压实责任、倒排工期，用“钉钉子”的精神持续解难题、抓落实，确保申遗工作事事有人管、事事不断链、人事无漏洞。要强化宣传，营造浓厚氛围，形成人人关心申遗、支持申遗、参与申遗的生动局面，不断凝聚起“一城人、一件事、一条心、一股劲、一起拼、一定赢”的强大合力。</w:t>
      </w:r>
    </w:p>
    <w:p w14:paraId="73EB4F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中央、省委、市委、区委深入贯彻中央八项规定精神学习教育有关文件、会议精神，并研究贯彻落实意见。会议强调，要深入学习习近平总书记关于加强党的作风建设的重要论述以及中央八项规定及其实施细则精神，突出以上率下、示范引领，注重分层分类学，强化“以训助学”，推动基层党组织和广大党员、干部学习教育全覆盖。要对标对表全面深入查找问题，加强警示教育，深刻剖析反面典型案例，深化党性分析。要坚持把“当下改”与“长久立”结合起来，既解决问题又建章立制。要广泛听取群众意见，自觉接受群众监督评判，用心用情用力解决好群众急难愁盼问题，不断增强人民群众获得感、幸福感、安全感。</w:t>
      </w:r>
    </w:p>
    <w:p w14:paraId="693784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会议审议并原则通过了《区政府党组开展深入贯彻中央八项规定精神学习教育工作安排》《昌江区农村土地承包经营权确权登记颁证成果清理规范及整合建库项目实施方案》。</w:t>
      </w:r>
    </w:p>
    <w:p w14:paraId="602B93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749EA1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1B0B19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5EDAB9F4">
      <w:pPr>
        <w:pStyle w:val="2"/>
        <w:rPr>
          <w:rFonts w:hint="eastAsia" w:ascii="仿宋_GB2312" w:hAnsi="仿宋_GB2312" w:eastAsia="仿宋_GB2312" w:cs="仿宋_GB2312"/>
          <w:kern w:val="0"/>
          <w:sz w:val="32"/>
          <w:szCs w:val="32"/>
          <w:lang w:val="en-US" w:eastAsia="zh-CN" w:bidi="ar-SA"/>
          <w14:ligatures w14:val="none"/>
        </w:rPr>
      </w:pPr>
    </w:p>
    <w:p w14:paraId="27CE7BCE">
      <w:pPr>
        <w:rPr>
          <w:rFonts w:hint="eastAsia" w:ascii="仿宋_GB2312" w:hAnsi="仿宋_GB2312" w:eastAsia="仿宋_GB2312" w:cs="仿宋_GB2312"/>
          <w:kern w:val="0"/>
          <w:sz w:val="32"/>
          <w:szCs w:val="32"/>
          <w:lang w:val="en-US" w:eastAsia="zh-CN" w:bidi="ar-SA"/>
          <w14:ligatures w14:val="none"/>
        </w:rPr>
      </w:pPr>
    </w:p>
    <w:p w14:paraId="6B14B279">
      <w:pPr>
        <w:pStyle w:val="2"/>
        <w:rPr>
          <w:rFonts w:hint="eastAsia" w:ascii="仿宋_GB2312" w:hAnsi="仿宋_GB2312" w:eastAsia="仿宋_GB2312" w:cs="仿宋_GB2312"/>
          <w:kern w:val="0"/>
          <w:sz w:val="32"/>
          <w:szCs w:val="32"/>
          <w:lang w:val="en-US" w:eastAsia="zh-CN" w:bidi="ar-SA"/>
          <w14:ligatures w14:val="none"/>
        </w:rPr>
      </w:pPr>
    </w:p>
    <w:p w14:paraId="0CAE16C9">
      <w:pPr>
        <w:pStyle w:val="2"/>
        <w:rPr>
          <w:rFonts w:hint="eastAsia"/>
          <w:lang w:val="en-US" w:eastAsia="zh-CN"/>
        </w:rPr>
      </w:pPr>
    </w:p>
    <w:p w14:paraId="1FECEDD0">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12E4A1E6">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3CFB56CC">
      <w:pPr>
        <w:pStyle w:val="7"/>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65</w:t>
      </w:r>
      <w:r>
        <w:rPr>
          <w:rFonts w:hint="eastAsia" w:ascii="方正小标宋简体" w:hAnsi="方正小标宋简体" w:eastAsia="方正小标宋简体" w:cs="方正小标宋简体"/>
          <w:sz w:val="44"/>
          <w:szCs w:val="44"/>
        </w:rPr>
        <w:t>次常务会议召开</w:t>
      </w:r>
    </w:p>
    <w:p w14:paraId="50F1F99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hAnsi="仿宋_GB2312" w:eastAsia="仿宋_GB2312" w:cs="仿宋_GB2312"/>
          <w:kern w:val="0"/>
          <w:sz w:val="32"/>
          <w:szCs w:val="32"/>
          <w:lang w:val="en-US" w:eastAsia="zh-CN" w:bidi="ar-SA"/>
          <w14:ligatures w14:val="none"/>
        </w:rPr>
      </w:pPr>
      <w:r>
        <w:rPr>
          <w:rFonts w:hint="eastAsia" w:eastAsia="仿宋"/>
          <w:b/>
          <w:bCs/>
          <w:sz w:val="32"/>
          <w:szCs w:val="32"/>
          <w:lang w:eastAsia="zh-CN"/>
        </w:rPr>
        <w:t>伊文斌主持</w:t>
      </w:r>
    </w:p>
    <w:p w14:paraId="678759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4月17日，十一届昌江区政府第65次常务会召开，传达学习习近平总书记近期重要讲话精神，省、市有关会议精神，研究部署当前及下一阶段重点工作。区委副书记、区长伊文斌主持会议并讲话。</w:t>
      </w:r>
    </w:p>
    <w:p w14:paraId="0D55F2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学习3月31日中共中央政治局会议精神，不折不扣抓好历次上级环保督察反馈问题整改销号，坚决守牢生态环境保护红线底线；要认真学习贯彻习近平总书记参加首都义务植树活动时的重要讲话精神，坚持扩绿、兴绿、护绿并举，不断厚植绿色生态优势；要深入学习领会习近平总书记在《求是》杂志发表的重要文章《朝着建成科技强国的宏伟目标奋勇前进》，立足昌江发展优势，聚焦“1+2+N”特色产业体系，推动科技创新和产业创新深度融合。</w:t>
      </w:r>
    </w:p>
    <w:p w14:paraId="6C3AF7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深入学习贯彻省委区域协调发展领导小组第二次会议精神，主动对接融入粤港澳大湾区建设等国家战略、区域战略，加快实现跨区域融合发展；要认真贯彻省林长制工作领导小组暨省级总林长会议精神，坚决扛起森林资源管护政治责任，严守生态保护红线，加快把生态优势转化为发展优势；要认真学习2024年度全省综合考核总结暨通报表扬大会精神，对照综合考核目标要求，自觉拉高标杆，用心谋事干事；要深入学习贯彻省委书记尹弘在省级领导干部深入贯彻中央八项规定精神学习教育读书班上的讲话精神，深入开展学习研讨，精准查摆突出问题，从严推进集中整治，切实把学习教育成果转化为高质量发展成效。</w:t>
      </w:r>
    </w:p>
    <w:p w14:paraId="460871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要求，要认真贯彻市委书记胡雪梅调研基层党建工作时的讲话要求，扎实开展深入贯彻中央八项规定精神学习教育，严格执行党的组织生活制度，深入推进抓党建促乡村振兴工作；要全面落实市委农村工作会议部署要求，坚持以学习践行“千万工程”经验引领乡村振兴，坚决守牢确保粮食安全、防止规模性返贫等底线。</w:t>
      </w:r>
    </w:p>
    <w:p w14:paraId="77357D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2E0E25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012607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sectPr>
      <w:headerReference r:id="rId22" w:type="default"/>
      <w:footerReference r:id="rId24" w:type="default"/>
      <w:headerReference r:id="rId23" w:type="even"/>
      <w:footerReference r:id="rId25"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CC91">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51F96">
                          <w:pPr>
                            <w:pStyle w:val="14"/>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14:paraId="48151F96">
                    <w:pPr>
                      <w:pStyle w:val="14"/>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1AF1B">
    <w:pPr>
      <w:pStyle w:val="14"/>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33DCD">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14:paraId="7CB33DCD">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232B">
    <w:pPr>
      <w:pStyle w:val="14"/>
      <w:ind w:right="360" w:firstLine="360"/>
    </w:pPr>
    <w:r>
      <w:br w:type="textWrapping"/>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8187E">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Style w:val="27"/>
                              <w:rFonts w:hint="eastAsia" w:ascii="宋体" w:hAnsi="宋体"/>
                              <w:sz w:val="28"/>
                              <w:szCs w:val="28"/>
                            </w:rPr>
                            <w:fldChar w:fldCharType="begin"/>
                          </w:r>
                          <w:r>
                            <w:rPr>
                              <w:rStyle w:val="27"/>
                              <w:rFonts w:hint="eastAsia" w:ascii="宋体" w:hAnsi="宋体"/>
                              <w:sz w:val="28"/>
                              <w:szCs w:val="28"/>
                            </w:rPr>
                            <w:instrText xml:space="preserve"> PAGE  \* MERGEFORMAT </w:instrText>
                          </w:r>
                          <w:r>
                            <w:rPr>
                              <w:rStyle w:val="27"/>
                              <w:rFonts w:hint="eastAsia" w:ascii="宋体" w:hAnsi="宋体"/>
                              <w:sz w:val="28"/>
                              <w:szCs w:val="28"/>
                            </w:rPr>
                            <w:fldChar w:fldCharType="separate"/>
                          </w:r>
                          <w:r>
                            <w:rPr>
                              <w:rStyle w:val="27"/>
                              <w:rFonts w:hint="eastAsia" w:ascii="宋体" w:hAnsi="宋体"/>
                              <w:sz w:val="28"/>
                              <w:szCs w:val="28"/>
                            </w:rPr>
                            <w:t>18</w:t>
                          </w:r>
                          <w:r>
                            <w:rPr>
                              <w:rStyle w:val="27"/>
                              <w:rFonts w:hint="eastAsia" w:ascii="宋体" w:hAnsi="宋体"/>
                              <w:sz w:val="28"/>
                              <w:szCs w:val="28"/>
                            </w:rPr>
                            <w:fldChar w:fldCharType="end"/>
                          </w:r>
                          <w:r>
                            <w:rPr>
                              <w:rStyle w:val="2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14:paraId="1CC8187E">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Style w:val="27"/>
                        <w:rFonts w:hint="eastAsia" w:ascii="宋体" w:hAnsi="宋体"/>
                        <w:sz w:val="28"/>
                        <w:szCs w:val="28"/>
                      </w:rPr>
                      <w:fldChar w:fldCharType="begin"/>
                    </w:r>
                    <w:r>
                      <w:rPr>
                        <w:rStyle w:val="27"/>
                        <w:rFonts w:hint="eastAsia" w:ascii="宋体" w:hAnsi="宋体"/>
                        <w:sz w:val="28"/>
                        <w:szCs w:val="28"/>
                      </w:rPr>
                      <w:instrText xml:space="preserve"> PAGE  \* MERGEFORMAT </w:instrText>
                    </w:r>
                    <w:r>
                      <w:rPr>
                        <w:rStyle w:val="27"/>
                        <w:rFonts w:hint="eastAsia" w:ascii="宋体" w:hAnsi="宋体"/>
                        <w:sz w:val="28"/>
                        <w:szCs w:val="28"/>
                      </w:rPr>
                      <w:fldChar w:fldCharType="separate"/>
                    </w:r>
                    <w:r>
                      <w:rPr>
                        <w:rStyle w:val="27"/>
                        <w:rFonts w:hint="eastAsia" w:ascii="宋体" w:hAnsi="宋体"/>
                        <w:sz w:val="28"/>
                        <w:szCs w:val="28"/>
                      </w:rPr>
                      <w:t>18</w:t>
                    </w:r>
                    <w:r>
                      <w:rPr>
                        <w:rStyle w:val="27"/>
                        <w:rFonts w:hint="eastAsia" w:ascii="宋体" w:hAnsi="宋体"/>
                        <w:sz w:val="28"/>
                        <w:szCs w:val="28"/>
                      </w:rPr>
                      <w:fldChar w:fldCharType="end"/>
                    </w:r>
                    <w:r>
                      <w:rPr>
                        <w:rStyle w:val="27"/>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FB15">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32A9F">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14:paraId="2D632A9F">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930B">
    <w:pPr>
      <w:pStyle w:val="14"/>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F52BD8">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14:paraId="0FF52BD8">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14:paraId="2F22127C">
    <w:pPr>
      <w:pStyle w:val="14"/>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BAC7">
    <w:pPr>
      <w:pStyle w:val="1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F7DDD0">
                          <w:pPr>
                            <w:pStyle w:val="14"/>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14:paraId="49F7DDD0">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382A">
    <w:pPr>
      <w:pStyle w:val="14"/>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8D1716">
                          <w:pPr>
                            <w:pStyle w:val="14"/>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14:paraId="4F8D1716">
                    <w:pPr>
                      <w:pStyle w:val="14"/>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25319">
    <w:pPr>
      <w:pStyle w:val="14"/>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CF5EB8">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14:paraId="0ECF5EB8">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08CFB">
    <w:pPr>
      <w:pStyle w:val="14"/>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128F9">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8</w:t>
                          </w:r>
                          <w:r>
                            <w:rPr>
                              <w:rFonts w:ascii="宋体" w:hAnsi="宋体"/>
                              <w:sz w:val="28"/>
                              <w:szCs w:val="28"/>
                            </w:rPr>
                            <w:fldChar w:fldCharType="end"/>
                          </w:r>
                          <w:r>
                            <w:rPr>
                              <w:rStyle w:val="2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14:paraId="01A128F9">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8</w:t>
                    </w:r>
                    <w:r>
                      <w:rPr>
                        <w:rFonts w:ascii="宋体" w:hAnsi="宋体"/>
                        <w:sz w:val="28"/>
                        <w:szCs w:val="28"/>
                      </w:rPr>
                      <w:fldChar w:fldCharType="end"/>
                    </w:r>
                    <w:r>
                      <w:rPr>
                        <w:rStyle w:val="27"/>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3A1D">
    <w:pPr>
      <w:pStyle w:val="1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CDC81">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2CCDC81">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6841">
    <w:pPr>
      <w:pStyle w:val="14"/>
      <w:ind w:right="360" w:firstLine="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A3E54">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8</w:t>
                          </w:r>
                          <w:r>
                            <w:rPr>
                              <w:rFonts w:ascii="宋体" w:hAnsi="宋体"/>
                              <w:sz w:val="28"/>
                              <w:szCs w:val="28"/>
                            </w:rPr>
                            <w:fldChar w:fldCharType="end"/>
                          </w:r>
                          <w:r>
                            <w:rPr>
                              <w:rStyle w:val="2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oHMcoBAACbAwAADgAAAGRycy9lMm9Eb2MueG1srVNLbtswEN0X6B0I&#10;7msqBlI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nykhLLDU789PvX6c+/09+f&#10;pLxMAvUeKsy795gZh09uwLWZ/YDOxHtog0lfZEQwjvIez/LKIRKRHpXLsiwwJDA2XxCfPTz3AeJn&#10;6QxJRk0Dzi/Lyg93EMfUOSVVs+5GaZ1nqO0TB2ImD0u9jz0mKw7bYSK0dc0R+fQ4+ppa3HRK9K1F&#10;ZdOWzEaYje1s7H1Quy6vUaoH/no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3oHMcoBAACbAwAADgAAAAAAAAABACAAAAAeAQAAZHJzL2Uyb0Rv&#10;Yy54bWxQSwUGAAAAAAYABgBZAQAAWgUAAAAA&#10;">
              <v:fill on="f" focussize="0,0"/>
              <v:stroke on="f"/>
              <v:imagedata o:title=""/>
              <o:lock v:ext="edit" aspectratio="f"/>
              <v:textbox inset="0mm,0mm,0mm,0mm" style="mso-fit-shape-to-text:t;">
                <w:txbxContent>
                  <w:p w14:paraId="72FA3E54">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8</w:t>
                    </w:r>
                    <w:r>
                      <w:rPr>
                        <w:rFonts w:ascii="宋体" w:hAnsi="宋体"/>
                        <w:sz w:val="28"/>
                        <w:szCs w:val="28"/>
                      </w:rPr>
                      <w:fldChar w:fldCharType="end"/>
                    </w:r>
                    <w:r>
                      <w:rPr>
                        <w:rStyle w:val="2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387D">
    <w:pPr>
      <w:pStyle w:val="15"/>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F8B8">
    <w:pPr>
      <w:pStyle w:val="15"/>
      <w:keepNext w:val="0"/>
      <w:keepLines w:val="0"/>
      <w:pageBreakBefore w:val="0"/>
      <w:widowControl w:val="0"/>
      <w:pBdr>
        <w:bottom w:val="single" w:color="auto" w:sz="4" w:space="1"/>
      </w:pBdr>
      <w:kinsoku/>
      <w:wordWrap/>
      <w:overflowPunct/>
      <w:topLinePunct w:val="0"/>
      <w:autoSpaceDE/>
      <w:autoSpaceDN/>
      <w:bidi w:val="0"/>
      <w:adjustRightInd/>
      <w:snapToGrid w:val="0"/>
      <w:jc w:val="both"/>
      <w:textAlignment w:val="auto"/>
      <w:rPr>
        <w:rFonts w:hint="eastAsia" w:ascii="楷体" w:hAnsi="楷体" w:eastAsia="楷体" w:cs="楷体"/>
        <w:sz w:val="24"/>
        <w:szCs w:val="40"/>
        <w:lang w:val="en-US" w:eastAsia="zh-CN"/>
      </w:rPr>
    </w:pPr>
  </w:p>
  <w:p w14:paraId="7D7817E0">
    <w:pPr>
      <w:pStyle w:val="15"/>
      <w:keepNext w:val="0"/>
      <w:keepLines w:val="0"/>
      <w:pageBreakBefore w:val="0"/>
      <w:widowControl w:val="0"/>
      <w:pBdr>
        <w:bottom w:val="single" w:color="auto" w:sz="4" w:space="1"/>
      </w:pBdr>
      <w:kinsoku/>
      <w:wordWrap/>
      <w:overflowPunct/>
      <w:topLinePunct w:val="0"/>
      <w:autoSpaceDE/>
      <w:autoSpaceDN/>
      <w:bidi w:val="0"/>
      <w:adjustRightInd/>
      <w:snapToGrid w:val="0"/>
      <w:jc w:val="both"/>
      <w:textAlignment w:val="auto"/>
      <w:rPr>
        <w:rFonts w:hint="eastAsia" w:ascii="楷体" w:hAnsi="楷体" w:eastAsia="楷体" w:cs="楷体"/>
        <w:sz w:val="24"/>
        <w:szCs w:val="40"/>
        <w:lang w:val="en-US" w:eastAsia="zh-CN"/>
      </w:rPr>
    </w:pPr>
  </w:p>
  <w:p w14:paraId="6FFE78F6">
    <w:pPr>
      <w:pStyle w:val="15"/>
      <w:keepNext w:val="0"/>
      <w:keepLines w:val="0"/>
      <w:pageBreakBefore w:val="0"/>
      <w:widowControl w:val="0"/>
      <w:pBdr>
        <w:bottom w:val="single" w:color="auto" w:sz="4" w:space="1"/>
      </w:pBdr>
      <w:kinsoku/>
      <w:wordWrap/>
      <w:overflowPunct/>
      <w:topLinePunct w:val="0"/>
      <w:autoSpaceDE/>
      <w:autoSpaceDN/>
      <w:bidi w:val="0"/>
      <w:adjustRightInd/>
      <w:snapToGrid w:val="0"/>
      <w:jc w:val="both"/>
      <w:textAlignment w:val="auto"/>
      <w:rPr>
        <w:rFonts w:hint="default" w:ascii="楷体" w:hAnsi="楷体" w:eastAsia="楷体" w:cs="楷体"/>
        <w:sz w:val="24"/>
        <w:szCs w:val="40"/>
        <w:lang w:val="en-US" w:eastAsia="zh-CN"/>
      </w:rPr>
    </w:pPr>
    <w:r>
      <w:rPr>
        <w:rFonts w:hint="eastAsia" w:ascii="楷体" w:hAnsi="楷体" w:eastAsia="楷体" w:cs="楷体"/>
        <w:sz w:val="24"/>
        <w:szCs w:val="40"/>
        <w:lang w:val="en-US" w:eastAsia="zh-CN"/>
      </w:rPr>
      <w:t xml:space="preserve">                                                           </w:t>
    </w:r>
    <w:r>
      <w:rPr>
        <w:rFonts w:ascii="楷体" w:hAnsi="楷体" w:eastAsia="楷体" w:cs="楷体"/>
        <w:sz w:val="24"/>
        <w:szCs w:val="40"/>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C00306">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6C00306">
                    <w:pPr>
                      <w:pStyle w:val="15"/>
                    </w:pPr>
                  </w:p>
                </w:txbxContent>
              </v:textbox>
            </v:shape>
          </w:pict>
        </mc:Fallback>
      </mc:AlternateContent>
    </w:r>
    <w:r>
      <w:rPr>
        <w:rFonts w:hint="eastAsia" w:ascii="楷体" w:hAnsi="楷体" w:eastAsia="楷体" w:cs="楷体"/>
        <w:sz w:val="24"/>
        <w:szCs w:val="40"/>
        <w:lang w:val="en-US" w:eastAsia="zh-CN"/>
      </w:rPr>
      <w:t xml:space="preserve">                                         </w:t>
    </w:r>
    <w:r>
      <w:rPr>
        <w:rFonts w:hint="eastAsia" w:ascii="楷体" w:hAnsi="楷体" w:eastAsia="楷体" w:cs="楷体"/>
        <w:sz w:val="24"/>
        <w:szCs w:val="40"/>
        <w:lang w:eastAsia="zh-CN"/>
      </w:rPr>
      <w:t>区政府办公室文件</w:t>
    </w:r>
    <w:r>
      <w:rPr>
        <w:rFonts w:hint="eastAsia" w:ascii="楷体" w:hAnsi="楷体" w:eastAsia="楷体" w:cs="楷体"/>
        <w:sz w:val="24"/>
        <w:szCs w:val="40"/>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5E0F">
    <w:pPr>
      <w:pStyle w:val="15"/>
      <w:keepNext w:val="0"/>
      <w:keepLines w:val="0"/>
      <w:pageBreakBefore w:val="0"/>
      <w:widowControl w:val="0"/>
      <w:pBdr>
        <w:bottom w:val="single" w:color="auto" w:sz="4" w:space="1"/>
      </w:pBdr>
      <w:kinsoku/>
      <w:wordWrap/>
      <w:overflowPunct/>
      <w:topLinePunct w:val="0"/>
      <w:autoSpaceDE/>
      <w:autoSpaceDN/>
      <w:bidi w:val="0"/>
      <w:adjustRightInd/>
      <w:snapToGrid w:val="0"/>
      <w:textAlignment w:val="auto"/>
      <w:rPr>
        <w:rFonts w:hint="default" w:eastAsiaTheme="minorEastAsia"/>
        <w:lang w:val="en-US" w:eastAsia="zh-CN"/>
      </w:rPr>
    </w:pPr>
    <w:r>
      <w:rPr>
        <w:rFonts w:hint="eastAsia" w:ascii="楷体" w:hAnsi="楷体" w:eastAsia="楷体" w:cs="楷体"/>
        <w:sz w:val="24"/>
        <w:lang w:val="en-US" w:eastAsia="zh-CN"/>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AFA7">
    <w:pPr>
      <w:pStyle w:val="15"/>
      <w:pBdr>
        <w:bottom w:val="single" w:color="auto" w:sz="4" w:space="1"/>
      </w:pBdr>
      <w:ind w:firstLine="7920" w:firstLineChars="3300"/>
      <w:rPr>
        <w:rFonts w:hint="default" w:eastAsiaTheme="minorEastAsia"/>
        <w:lang w:val="en-US" w:eastAsia="zh-CN"/>
      </w:rPr>
    </w:pPr>
    <w:r>
      <w:rPr>
        <w:rFonts w:hint="eastAsia" w:ascii="楷体" w:hAnsi="楷体" w:eastAsia="楷体" w:cs="楷体"/>
        <w:sz w:val="24"/>
        <w:lang w:val="en-US"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759E6">
    <w:pPr>
      <w:pStyle w:val="15"/>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C9E6">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DF1A">
    <w:pPr>
      <w:pStyle w:val="15"/>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96AC9B">
                          <w:pPr>
                            <w:pStyle w:val="15"/>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14:paraId="4696AC9B">
                    <w:pPr>
                      <w:pStyle w:val="15"/>
                      <w:pBdr>
                        <w:left w:val="none" w:color="auto" w:sz="0" w:space="14"/>
                      </w:pBdr>
                    </w:pPr>
                  </w:p>
                </w:txbxContent>
              </v:textbox>
            </v:shape>
          </w:pict>
        </mc:Fallback>
      </mc:AlternateContent>
    </w:r>
    <w:r>
      <w:rPr>
        <w:rFonts w:ascii="楷体" w:hAnsi="楷体" w:eastAsia="楷体" w:cs="楷体"/>
        <w:sz w:val="24"/>
      </w:rPr>
      <w:tab/>
    </w:r>
  </w:p>
  <w:p w14:paraId="2A5E3272">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CB2C">
    <w:pPr>
      <w:pStyle w:val="15"/>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19E0">
    <w:pPr>
      <w:pStyle w:val="15"/>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5A18">
    <w:pPr>
      <w:pStyle w:val="15"/>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147955</wp:posOffset>
              </wp:positionV>
              <wp:extent cx="76200" cy="76200"/>
              <wp:effectExtent l="0" t="0" r="0" b="0"/>
              <wp:wrapNone/>
              <wp:docPr id="21" name="文本框 21"/>
              <wp:cNvGraphicFramePr/>
              <a:graphic xmlns:a="http://schemas.openxmlformats.org/drawingml/2006/main">
                <a:graphicData uri="http://schemas.microsoft.com/office/word/2010/wordprocessingShape">
                  <wps:wsp>
                    <wps:cNvSpPr txBox="1"/>
                    <wps:spPr>
                      <a:xfrm flipV="1">
                        <a:off x="0" y="0"/>
                        <a:ext cx="76200" cy="76200"/>
                      </a:xfrm>
                      <a:prstGeom prst="rect">
                        <a:avLst/>
                      </a:prstGeom>
                      <a:noFill/>
                      <a:ln w="6350">
                        <a:noFill/>
                      </a:ln>
                      <a:effectLst/>
                    </wps:spPr>
                    <wps:txbx>
                      <w:txbxContent>
                        <w:p w14:paraId="40725D87">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0pt;margin-top:11.65pt;height:6pt;width:6pt;mso-position-horizontal-relative:margin;z-index:251663360;mso-width-relative:page;mso-height-relative:page;" filled="f" stroked="f" coordsize="21600,21600" o:gfxdata="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UP0jUAAAABQEAAA8AAAAAAAAAAQAgAAAAIgAAAGRycy9k&#10;b3ducmV2LnhtbFBLAQIUABQAAAAIAIdO4kDMHdeuPwIAAHkEAAAOAAAAAAAAAAEAIAAAACMBAABk&#10;cnMvZTJvRG9jLnhtbFBLBQYAAAAABgAGAFkBAADUBQAAAAA=&#10;">
              <v:fill on="f" focussize="0,0"/>
              <v:stroke on="f" weight="0.5pt"/>
              <v:imagedata o:title=""/>
              <o:lock v:ext="edit" aspectratio="f"/>
              <v:textbox inset="0mm,0mm,0mm,0mm">
                <w:txbxContent>
                  <w:p w14:paraId="40725D87">
                    <w:pPr>
                      <w:pStyle w:val="15"/>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4B1EB">
    <w:pPr>
      <w:pStyle w:val="15"/>
      <w:pBdr>
        <w:bottom w:val="single" w:color="auto" w:sz="4" w:space="1"/>
      </w:pBdr>
      <w:jc w:val="right"/>
      <w:rPr>
        <w:rFonts w:hint="eastAsia" w:ascii="楷体" w:hAnsi="楷体" w:eastAsia="楷体" w:cs="楷体"/>
        <w:sz w:val="24"/>
        <w:szCs w:val="40"/>
        <w:lang w:eastAsia="zh-CN"/>
      </w:rPr>
    </w:pPr>
  </w:p>
  <w:p w14:paraId="3ABC5E77">
    <w:pPr>
      <w:pStyle w:val="15"/>
      <w:pBdr>
        <w:bottom w:val="single" w:color="auto" w:sz="4" w:space="1"/>
      </w:pBdr>
      <w:jc w:val="right"/>
      <w:rPr>
        <w:rFonts w:hint="eastAsia" w:ascii="楷体" w:hAnsi="楷体" w:eastAsia="楷体" w:cs="楷体"/>
        <w:sz w:val="24"/>
        <w:szCs w:val="40"/>
        <w:lang w:eastAsia="zh-CN"/>
      </w:rPr>
    </w:pPr>
  </w:p>
  <w:p w14:paraId="6041B77B">
    <w:pPr>
      <w:pStyle w:val="15"/>
      <w:pBdr>
        <w:bottom w:val="single" w:color="auto" w:sz="4" w:space="1"/>
      </w:pBdr>
      <w:jc w:val="right"/>
      <w:rPr>
        <w:rFonts w:hint="eastAsia" w:ascii="楷体" w:hAnsi="楷体" w:eastAsia="楷体" w:cs="楷体"/>
        <w:sz w:val="24"/>
        <w:szCs w:val="40"/>
        <w:lang w:eastAsia="zh-CN"/>
      </w:rPr>
    </w:pPr>
  </w:p>
  <w:p w14:paraId="002CAF47">
    <w:pPr>
      <w:pStyle w:val="15"/>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E651E7">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32E651E7">
                    <w:pPr>
                      <w:pStyle w:val="15"/>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228D">
    <w:pPr>
      <w:pStyle w:val="15"/>
      <w:pBdr>
        <w:bottom w:val="single" w:color="auto" w:sz="4" w:space="1"/>
      </w:pBdr>
      <w:rPr>
        <w:rFonts w:hint="eastAsia" w:ascii="楷体" w:hAnsi="楷体" w:eastAsia="楷体" w:cs="楷体"/>
        <w:sz w:val="24"/>
        <w:lang w:eastAsia="zh-CN"/>
      </w:rPr>
    </w:pPr>
  </w:p>
  <w:p w14:paraId="3D84CD19">
    <w:pPr>
      <w:pStyle w:val="15"/>
      <w:pBdr>
        <w:bottom w:val="single" w:color="auto" w:sz="4" w:space="1"/>
      </w:pBdr>
      <w:rPr>
        <w:rFonts w:hint="eastAsia" w:ascii="楷体" w:hAnsi="楷体" w:eastAsia="楷体" w:cs="楷体"/>
        <w:sz w:val="24"/>
        <w:lang w:eastAsia="zh-CN"/>
      </w:rPr>
    </w:pPr>
  </w:p>
  <w:p w14:paraId="23A69511">
    <w:pPr>
      <w:pStyle w:val="15"/>
      <w:pBdr>
        <w:bottom w:val="single" w:color="auto" w:sz="4" w:space="1"/>
      </w:pBdr>
      <w:rPr>
        <w:rFonts w:hint="eastAsia" w:ascii="楷体" w:hAnsi="楷体" w:eastAsia="楷体" w:cs="楷体"/>
        <w:sz w:val="24"/>
        <w:lang w:eastAsia="zh-CN"/>
      </w:rPr>
    </w:pPr>
  </w:p>
  <w:p w14:paraId="2B8A5ABF">
    <w:pPr>
      <w:pStyle w:val="15"/>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147955</wp:posOffset>
              </wp:positionV>
              <wp:extent cx="76200" cy="76200"/>
              <wp:effectExtent l="0" t="0" r="0" b="0"/>
              <wp:wrapNone/>
              <wp:docPr id="18" name="文本框 18"/>
              <wp:cNvGraphicFramePr/>
              <a:graphic xmlns:a="http://schemas.openxmlformats.org/drawingml/2006/main">
                <a:graphicData uri="http://schemas.microsoft.com/office/word/2010/wordprocessingShape">
                  <wps:wsp>
                    <wps:cNvSpPr txBox="1"/>
                    <wps:spPr>
                      <a:xfrm flipV="1">
                        <a:off x="0" y="0"/>
                        <a:ext cx="76200" cy="76200"/>
                      </a:xfrm>
                      <a:prstGeom prst="rect">
                        <a:avLst/>
                      </a:prstGeom>
                      <a:noFill/>
                      <a:ln w="6350">
                        <a:noFill/>
                      </a:ln>
                      <a:effectLst/>
                    </wps:spPr>
                    <wps:txbx>
                      <w:txbxContent>
                        <w:p w14:paraId="42606340">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0pt;margin-top:11.65pt;height:6pt;width:6pt;mso-position-horizontal-relative:margin;z-index:251680768;mso-width-relative:page;mso-height-relative:page;" filled="f" stroked="f" coordsize="21600,21600" o:gfxdata="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VQ/SNQAAAAFAQAADwAAAAAAAAABACAAAAAiAAAAZHJzL2Rv&#10;d25yZXYueG1sUEsBAhQAFAAAAAgAh07iQN7C+e0+AgAAeQQAAA4AAAAAAAAAAQAgAAAAIwEAAGRy&#10;cy9lMm9Eb2MueG1sUEsFBgAAAAAGAAYAWQEAANMFAAAAAA==&#10;">
              <v:fill on="f" focussize="0,0"/>
              <v:stroke on="f" weight="0.5pt"/>
              <v:imagedata o:title=""/>
              <o:lock v:ext="edit" aspectratio="f"/>
              <v:textbox inset="0mm,0mm,0mm,0mm">
                <w:txbxContent>
                  <w:p w14:paraId="42606340">
                    <w:pPr>
                      <w:pStyle w:val="15"/>
                    </w:pPr>
                  </w:p>
                </w:txbxContent>
              </v:textbox>
            </v:shape>
          </w:pict>
        </mc:Fallback>
      </mc:AlternateContent>
    </w:r>
    <w:r>
      <w:rPr>
        <w:rFonts w:hint="eastAsia" w:ascii="楷体" w:hAnsi="楷体" w:eastAsia="楷体" w:cs="楷体"/>
        <w:sz w:val="24"/>
        <w:lang w:eastAsia="zh-CN"/>
      </w:rPr>
      <w:t>区政府办公室文件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E5AAA"/>
    <w:multiLevelType w:val="singleLevel"/>
    <w:tmpl w:val="AF7E5A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GNlZDY0ZjE1M2EyZTc5YzllNDdmZWJjOTM1NTU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6162243"/>
    <w:rsid w:val="0A053062"/>
    <w:rsid w:val="0AB56D90"/>
    <w:rsid w:val="0B2E7FF7"/>
    <w:rsid w:val="0D4869A1"/>
    <w:rsid w:val="0DE34399"/>
    <w:rsid w:val="0DE82B49"/>
    <w:rsid w:val="0F575C2A"/>
    <w:rsid w:val="113217E0"/>
    <w:rsid w:val="13665CF9"/>
    <w:rsid w:val="16BD2D87"/>
    <w:rsid w:val="19545511"/>
    <w:rsid w:val="196F6B6E"/>
    <w:rsid w:val="1A5348A7"/>
    <w:rsid w:val="1B22309D"/>
    <w:rsid w:val="1B424ADC"/>
    <w:rsid w:val="1B5D67D0"/>
    <w:rsid w:val="1BD050C3"/>
    <w:rsid w:val="1C9457A5"/>
    <w:rsid w:val="1D2151DC"/>
    <w:rsid w:val="1D6D4435"/>
    <w:rsid w:val="1DE54342"/>
    <w:rsid w:val="1E322696"/>
    <w:rsid w:val="1F6A2B6C"/>
    <w:rsid w:val="211F1490"/>
    <w:rsid w:val="21CB0B93"/>
    <w:rsid w:val="221C1533"/>
    <w:rsid w:val="223B63AD"/>
    <w:rsid w:val="22FC3CC3"/>
    <w:rsid w:val="23AA0EFD"/>
    <w:rsid w:val="23C12633"/>
    <w:rsid w:val="247578BD"/>
    <w:rsid w:val="25B0363E"/>
    <w:rsid w:val="27164CA8"/>
    <w:rsid w:val="28091124"/>
    <w:rsid w:val="289C2917"/>
    <w:rsid w:val="2A0B03C6"/>
    <w:rsid w:val="2A373FFE"/>
    <w:rsid w:val="2B66528F"/>
    <w:rsid w:val="2C29284E"/>
    <w:rsid w:val="2C4B3E88"/>
    <w:rsid w:val="2C947940"/>
    <w:rsid w:val="2D8F46B0"/>
    <w:rsid w:val="2E51195A"/>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32D5642"/>
    <w:rsid w:val="54DB3A8C"/>
    <w:rsid w:val="564E344F"/>
    <w:rsid w:val="57BB445E"/>
    <w:rsid w:val="59440008"/>
    <w:rsid w:val="59DC38F4"/>
    <w:rsid w:val="5A202B08"/>
    <w:rsid w:val="5B227780"/>
    <w:rsid w:val="5BDB7A2A"/>
    <w:rsid w:val="5C13654C"/>
    <w:rsid w:val="5DA95F03"/>
    <w:rsid w:val="5EA16081"/>
    <w:rsid w:val="5FAB5EBF"/>
    <w:rsid w:val="60FF3B12"/>
    <w:rsid w:val="618276FA"/>
    <w:rsid w:val="61CF7137"/>
    <w:rsid w:val="62E04C26"/>
    <w:rsid w:val="655C2E84"/>
    <w:rsid w:val="674D001D"/>
    <w:rsid w:val="68717953"/>
    <w:rsid w:val="6ADF5585"/>
    <w:rsid w:val="6B270778"/>
    <w:rsid w:val="6B9D5970"/>
    <w:rsid w:val="6C841D70"/>
    <w:rsid w:val="6D4A722B"/>
    <w:rsid w:val="6DCB2EE3"/>
    <w:rsid w:val="6DE46689"/>
    <w:rsid w:val="6E0B5463"/>
    <w:rsid w:val="6EA329F6"/>
    <w:rsid w:val="6EA45239"/>
    <w:rsid w:val="70963A91"/>
    <w:rsid w:val="712C27CA"/>
    <w:rsid w:val="71AB5682"/>
    <w:rsid w:val="741914B9"/>
    <w:rsid w:val="74550BCE"/>
    <w:rsid w:val="757E4AAC"/>
    <w:rsid w:val="76BF2039"/>
    <w:rsid w:val="775C20C1"/>
    <w:rsid w:val="777A1A52"/>
    <w:rsid w:val="78CD45AA"/>
    <w:rsid w:val="79E25F5E"/>
    <w:rsid w:val="7A7638E6"/>
    <w:rsid w:val="7BB85963"/>
    <w:rsid w:val="7C157457"/>
    <w:rsid w:val="7D085BBD"/>
    <w:rsid w:val="7F73644D"/>
    <w:rsid w:val="7F9053B6"/>
    <w:rsid w:val="7FD4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next w:val="1"/>
    <w:unhideWhenUsed/>
    <w:qFormat/>
    <w:uiPriority w:val="0"/>
    <w:pPr>
      <w:keepNext/>
      <w:keepLines/>
      <w:widowControl w:val="0"/>
      <w:suppressLineNumbers w:val="0"/>
      <w:spacing w:before="260" w:beforeAutospacing="0" w:after="260" w:afterAutospacing="0" w:line="415" w:lineRule="auto"/>
      <w:jc w:val="both"/>
      <w:outlineLvl w:val="2"/>
    </w:pPr>
    <w:rPr>
      <w:rFonts w:hint="default" w:ascii="Calibri" w:hAnsi="Calibri" w:eastAsia="宋体" w:cs="Times New Roman"/>
      <w:b/>
      <w:bCs/>
      <w:kern w:val="2"/>
      <w:sz w:val="32"/>
      <w:szCs w:val="32"/>
      <w:lang w:val="en-US" w:eastAsia="zh-CN" w:bidi="ar"/>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仿宋_GB2312" w:hAnsi="仿宋_GB2312" w:eastAsia="仿宋_GB2312" w:cstheme="minorBidi"/>
      <w:sz w:val="32"/>
    </w:rPr>
  </w:style>
  <w:style w:type="paragraph" w:styleId="6">
    <w:name w:val="caption"/>
    <w:basedOn w:val="1"/>
    <w:next w:val="1"/>
    <w:qFormat/>
    <w:uiPriority w:val="0"/>
    <w:rPr>
      <w:rFonts w:ascii="Cambria" w:hAnsi="Cambria" w:eastAsia="黑体" w:cs="Cambria"/>
      <w:sz w:val="20"/>
      <w:szCs w:val="20"/>
    </w:rPr>
  </w:style>
  <w:style w:type="paragraph" w:styleId="7">
    <w:name w:val="Body Text"/>
    <w:basedOn w:val="1"/>
    <w:next w:val="8"/>
    <w:qFormat/>
    <w:uiPriority w:val="0"/>
    <w:pPr>
      <w:widowControl/>
      <w:spacing w:before="100" w:beforeAutospacing="1" w:after="100" w:afterAutospacing="1"/>
      <w:jc w:val="left"/>
    </w:pPr>
    <w:rPr>
      <w:rFonts w:ascii="宋体" w:hAnsi="宋体" w:cs="宋体"/>
      <w:kern w:val="0"/>
      <w:sz w:val="24"/>
    </w:rPr>
  </w:style>
  <w:style w:type="paragraph" w:customStyle="1" w:styleId="8">
    <w:name w:val="Quote_05ab4f12-afc2-4215-bfad-52d2fc77ef0d"/>
    <w:next w:val="1"/>
    <w:qFormat/>
    <w:uiPriority w:val="0"/>
    <w:pPr>
      <w:wordWrap w:val="0"/>
      <w:spacing w:before="200" w:after="160"/>
      <w:ind w:left="864" w:right="864"/>
      <w:jc w:val="center"/>
    </w:pPr>
    <w:rPr>
      <w:rFonts w:ascii="Calibri" w:hAnsi="Calibri" w:eastAsia="宋体" w:cs="Times New Roman"/>
      <w:i/>
      <w:iCs/>
      <w:sz w:val="21"/>
      <w:szCs w:val="28"/>
      <w:lang w:val="en-US" w:eastAsia="zh-CN" w:bidi="ar-SA"/>
    </w:rPr>
  </w:style>
  <w:style w:type="paragraph" w:styleId="9">
    <w:name w:val="Body Text Indent"/>
    <w:basedOn w:val="1"/>
    <w:next w:val="5"/>
    <w:unhideWhenUsed/>
    <w:qFormat/>
    <w:uiPriority w:val="99"/>
    <w:pPr>
      <w:spacing w:after="120"/>
      <w:ind w:left="420" w:leftChars="200"/>
    </w:pPr>
  </w:style>
  <w:style w:type="paragraph" w:styleId="10">
    <w:name w:val="toc 5"/>
    <w:basedOn w:val="1"/>
    <w:next w:val="1"/>
    <w:qFormat/>
    <w:uiPriority w:val="0"/>
    <w:pPr>
      <w:ind w:left="1680" w:leftChars="800"/>
    </w:pPr>
    <w:rPr>
      <w:rFonts w:ascii="Times New Roman" w:hAnsi="Times New Roman"/>
      <w:szCs w:val="21"/>
    </w:rPr>
  </w:style>
  <w:style w:type="paragraph" w:styleId="11">
    <w:name w:val="Plain Text"/>
    <w:basedOn w:val="1"/>
    <w:qFormat/>
    <w:uiPriority w:val="0"/>
    <w:rPr>
      <w:rFonts w:ascii="宋体" w:hAnsi="Courier New" w:cs="Courier New"/>
      <w:szCs w:val="21"/>
    </w:rPr>
  </w:style>
  <w:style w:type="paragraph" w:styleId="12">
    <w:name w:val="Body Text Indent 2"/>
    <w:basedOn w:val="1"/>
    <w:link w:val="41"/>
    <w:qFormat/>
    <w:uiPriority w:val="0"/>
    <w:pPr>
      <w:spacing w:after="120" w:line="480" w:lineRule="auto"/>
      <w:ind w:left="420" w:leftChars="200"/>
    </w:pPr>
    <w:rPr>
      <w:rFonts w:ascii="Calibri" w:hAnsi="Calibri" w:eastAsia="宋体" w:cs="黑体"/>
    </w:rPr>
  </w:style>
  <w:style w:type="paragraph" w:styleId="13">
    <w:name w:val="Balloon Text"/>
    <w:basedOn w:val="1"/>
    <w:link w:val="4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next w:val="1"/>
    <w:qFormat/>
    <w:uiPriority w:val="0"/>
    <w:pPr>
      <w:wordWrap w:val="0"/>
      <w:spacing w:after="60"/>
      <w:jc w:val="center"/>
    </w:pPr>
    <w:rPr>
      <w:rFonts w:ascii="Times New Roman" w:hAnsi="Times New Roman" w:eastAsia="宋体" w:cs="Times New Roman"/>
      <w:sz w:val="24"/>
      <w:szCs w:val="22"/>
      <w:lang w:val="en-US" w:eastAsia="zh-CN" w:bidi="ar-SA"/>
    </w:rPr>
  </w:style>
  <w:style w:type="paragraph" w:styleId="17">
    <w:name w:val="toc 2"/>
    <w:basedOn w:val="1"/>
    <w:next w:val="1"/>
    <w:qFormat/>
    <w:uiPriority w:val="0"/>
    <w:pPr>
      <w:ind w:left="420" w:leftChars="200"/>
    </w:pPr>
    <w:rPr>
      <w:rFonts w:ascii="Times New Roman" w:hAnsi="Times New Roman" w:cs="黑体"/>
    </w:rPr>
  </w:style>
  <w:style w:type="paragraph" w:styleId="18">
    <w:name w:val="Body Text 2"/>
    <w:basedOn w:val="1"/>
    <w:qFormat/>
    <w:uiPriority w:val="0"/>
    <w:pPr>
      <w:spacing w:after="120" w:line="480" w:lineRule="auto"/>
    </w:pPr>
    <w:rPr>
      <w:rFonts w:ascii="Times New Roman" w:hAnsi="Times New Roman"/>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Body Text First Indent"/>
    <w:basedOn w:val="7"/>
    <w:qFormat/>
    <w:uiPriority w:val="0"/>
    <w:pPr>
      <w:ind w:firstLine="420" w:firstLineChars="100"/>
    </w:pPr>
  </w:style>
  <w:style w:type="paragraph" w:styleId="22">
    <w:name w:val="Body Text First Indent 2"/>
    <w:basedOn w:val="9"/>
    <w:next w:val="1"/>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rFonts w:ascii="Times New Roman" w:hAnsi="Times New Roman" w:eastAsia="宋体" w:cs="Times New Roman"/>
      <w:b/>
    </w:rPr>
  </w:style>
  <w:style w:type="character" w:styleId="27">
    <w:name w:val="page number"/>
    <w:basedOn w:val="25"/>
    <w:qFormat/>
    <w:uiPriority w:val="0"/>
  </w:style>
  <w:style w:type="character" w:styleId="28">
    <w:name w:val="Hyperlink"/>
    <w:basedOn w:val="25"/>
    <w:semiHidden/>
    <w:unhideWhenUsed/>
    <w:qFormat/>
    <w:uiPriority w:val="99"/>
    <w:rPr>
      <w:color w:val="0000FF"/>
      <w:u w:val="single"/>
    </w:rPr>
  </w:style>
  <w:style w:type="paragraph" w:customStyle="1" w:styleId="29">
    <w:name w:val="Body Text First Indent 21"/>
    <w:basedOn w:val="1"/>
    <w:qFormat/>
    <w:uiPriority w:val="0"/>
    <w:pPr>
      <w:spacing w:before="100" w:beforeAutospacing="1" w:after="100" w:afterAutospacing="1"/>
      <w:ind w:left="420" w:leftChars="200" w:firstLine="210"/>
    </w:pPr>
    <w:rPr>
      <w:rFonts w:ascii="Calibri" w:hAnsi="Calibri" w:eastAsia="宋体" w:cs="宋体"/>
      <w:sz w:val="21"/>
      <w:szCs w:val="21"/>
    </w:rPr>
  </w:style>
  <w:style w:type="paragraph" w:customStyle="1" w:styleId="30">
    <w:name w:val="纯文本1"/>
    <w:basedOn w:val="1"/>
    <w:qFormat/>
    <w:uiPriority w:val="0"/>
    <w:pPr>
      <w:ind w:firstLine="964" w:firstLineChars="200"/>
    </w:pPr>
    <w:rPr>
      <w:rFonts w:ascii="宋体" w:hAnsi="宋体" w:eastAsia="仿宋" w:cs="Times New Roman"/>
      <w:sz w:val="21"/>
    </w:rPr>
  </w:style>
  <w:style w:type="paragraph" w:customStyle="1" w:styleId="31">
    <w:name w:val="引文目录标题1"/>
    <w:basedOn w:val="1"/>
    <w:next w:val="1"/>
    <w:qFormat/>
    <w:uiPriority w:val="0"/>
    <w:rPr>
      <w:rFonts w:ascii="Cambria" w:hAnsi="Cambria" w:cs="黑体"/>
      <w:sz w:val="24"/>
    </w:rPr>
  </w:style>
  <w:style w:type="paragraph" w:customStyle="1" w:styleId="32">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33">
    <w:name w:val="font41"/>
    <w:basedOn w:val="25"/>
    <w:qFormat/>
    <w:uiPriority w:val="0"/>
    <w:rPr>
      <w:rFonts w:hint="default" w:ascii="Times New Roman" w:hAnsi="Times New Roman" w:cs="Times New Roman"/>
      <w:color w:val="000000"/>
      <w:sz w:val="16"/>
      <w:szCs w:val="16"/>
      <w:u w:val="none"/>
    </w:rPr>
  </w:style>
  <w:style w:type="character" w:customStyle="1" w:styleId="34">
    <w:name w:val="font51"/>
    <w:basedOn w:val="25"/>
    <w:qFormat/>
    <w:uiPriority w:val="0"/>
    <w:rPr>
      <w:rFonts w:hint="eastAsia" w:ascii="宋体" w:hAnsi="宋体" w:eastAsia="宋体" w:cs="宋体"/>
      <w:color w:val="000000"/>
      <w:sz w:val="16"/>
      <w:szCs w:val="16"/>
      <w:u w:val="none"/>
    </w:rPr>
  </w:style>
  <w:style w:type="character" w:customStyle="1" w:styleId="35">
    <w:name w:val="font31"/>
    <w:basedOn w:val="25"/>
    <w:qFormat/>
    <w:uiPriority w:val="0"/>
    <w:rPr>
      <w:rFonts w:hint="eastAsia" w:ascii="宋体" w:hAnsi="宋体" w:eastAsia="宋体" w:cs="宋体"/>
      <w:color w:val="FF0000"/>
      <w:sz w:val="16"/>
      <w:szCs w:val="16"/>
      <w:u w:val="none"/>
    </w:rPr>
  </w:style>
  <w:style w:type="character" w:customStyle="1" w:styleId="36">
    <w:name w:val="font61"/>
    <w:basedOn w:val="25"/>
    <w:qFormat/>
    <w:uiPriority w:val="0"/>
    <w:rPr>
      <w:rFonts w:hint="eastAsia" w:ascii="宋体" w:hAnsi="宋体" w:eastAsia="宋体" w:cs="宋体"/>
      <w:color w:val="000000"/>
      <w:sz w:val="20"/>
      <w:szCs w:val="20"/>
      <w:u w:val="none"/>
    </w:rPr>
  </w:style>
  <w:style w:type="character" w:customStyle="1" w:styleId="37">
    <w:name w:val="font01"/>
    <w:basedOn w:val="25"/>
    <w:qFormat/>
    <w:uiPriority w:val="0"/>
    <w:rPr>
      <w:rFonts w:hint="eastAsia" w:ascii="宋体" w:hAnsi="宋体" w:eastAsia="宋体" w:cs="宋体"/>
      <w:color w:val="333333"/>
      <w:sz w:val="20"/>
      <w:szCs w:val="20"/>
      <w:u w:val="none"/>
    </w:rPr>
  </w:style>
  <w:style w:type="character" w:customStyle="1" w:styleId="38">
    <w:name w:val="font11"/>
    <w:basedOn w:val="25"/>
    <w:qFormat/>
    <w:uiPriority w:val="0"/>
    <w:rPr>
      <w:rFonts w:hint="eastAsia" w:ascii="宋体" w:hAnsi="宋体" w:eastAsia="宋体" w:cs="宋体"/>
      <w:color w:val="000000"/>
      <w:sz w:val="20"/>
      <w:szCs w:val="20"/>
      <w:u w:val="none"/>
    </w:rPr>
  </w:style>
  <w:style w:type="paragraph" w:customStyle="1" w:styleId="39">
    <w:name w:val="WPSOffice手动目录 1"/>
    <w:basedOn w:val="1"/>
    <w:next w:val="22"/>
    <w:qFormat/>
    <w:uiPriority w:val="0"/>
    <w:pPr>
      <w:widowControl/>
      <w:jc w:val="left"/>
    </w:pPr>
    <w:rPr>
      <w:rFonts w:ascii="Times New Roman" w:hAnsi="Times New Roman" w:eastAsia="宋体" w:cs="Times New Roman"/>
      <w:kern w:val="0"/>
      <w:sz w:val="20"/>
      <w:szCs w:val="20"/>
    </w:rPr>
  </w:style>
  <w:style w:type="character" w:customStyle="1" w:styleId="40">
    <w:name w:val="批注框文本 Char"/>
    <w:basedOn w:val="25"/>
    <w:link w:val="13"/>
    <w:qFormat/>
    <w:uiPriority w:val="0"/>
    <w:rPr>
      <w:rFonts w:asciiTheme="minorHAnsi" w:hAnsiTheme="minorHAnsi" w:eastAsiaTheme="minorEastAsia" w:cstheme="minorBidi"/>
      <w:kern w:val="2"/>
      <w:sz w:val="18"/>
      <w:szCs w:val="18"/>
    </w:rPr>
  </w:style>
  <w:style w:type="character" w:customStyle="1" w:styleId="41">
    <w:name w:val="正文文本缩进 2 Char"/>
    <w:basedOn w:val="25"/>
    <w:link w:val="12"/>
    <w:qFormat/>
    <w:uiPriority w:val="0"/>
    <w:rPr>
      <w:rFonts w:ascii="Calibri" w:hAnsi="Calibri" w:cs="黑体"/>
      <w:kern w:val="2"/>
      <w:sz w:val="21"/>
      <w:szCs w:val="24"/>
    </w:rPr>
  </w:style>
  <w:style w:type="paragraph" w:customStyle="1" w:styleId="42">
    <w:name w:val="列出段落1"/>
    <w:basedOn w:val="1"/>
    <w:unhideWhenUsed/>
    <w:qFormat/>
    <w:uiPriority w:val="99"/>
    <w:pPr>
      <w:ind w:firstLine="420" w:firstLineChars="200"/>
    </w:pPr>
    <w:rPr>
      <w:rFonts w:ascii="Calibri" w:hAnsi="Calibri" w:eastAsia="宋体" w:cs="黑体"/>
    </w:rPr>
  </w:style>
  <w:style w:type="paragraph" w:customStyle="1" w:styleId="43">
    <w:name w:val="List Paragraph"/>
    <w:basedOn w:val="1"/>
    <w:unhideWhenUsed/>
    <w:qFormat/>
    <w:uiPriority w:val="99"/>
    <w:pPr>
      <w:ind w:firstLine="420" w:firstLineChars="200"/>
    </w:p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Default"/>
    <w:basedOn w:val="46"/>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6">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7">
    <w:name w:val="Normal Indent"/>
    <w:basedOn w:val="1"/>
    <w:qFormat/>
    <w:uiPriority w:val="0"/>
    <w:pPr>
      <w:ind w:firstLine="420" w:firstLineChars="200"/>
    </w:pPr>
    <w:rPr>
      <w:rFonts w:eastAsia="仿宋"/>
      <w:sz w:val="32"/>
    </w:rPr>
  </w:style>
  <w:style w:type="character" w:customStyle="1" w:styleId="48">
    <w:name w:val="font21"/>
    <w:basedOn w:val="25"/>
    <w:qFormat/>
    <w:uiPriority w:val="0"/>
    <w:rPr>
      <w:rFonts w:hint="eastAsia" w:ascii="黑体" w:hAnsi="宋体" w:eastAsia="黑体" w:cs="黑体"/>
      <w:color w:val="000000"/>
      <w:sz w:val="28"/>
      <w:szCs w:val="28"/>
      <w:u w:val="none"/>
    </w:rPr>
  </w:style>
  <w:style w:type="character" w:customStyle="1" w:styleId="49">
    <w:name w:val="NormalCharacter"/>
    <w:link w:val="1"/>
    <w:qFormat/>
    <w:uiPriority w:val="0"/>
    <w:rPr>
      <w:rFonts w:asciiTheme="minorHAnsi" w:hAnsiTheme="minorHAnsi" w:eastAsiaTheme="minorEastAsia" w:cstheme="minorBidi"/>
      <w:kern w:val="2"/>
      <w:sz w:val="21"/>
      <w:szCs w:val="24"/>
      <w:lang w:val="en-US" w:eastAsia="zh-CN" w:bidi="ar-SA"/>
    </w:r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宋体" w:hAnsi="宋体" w:eastAsia="宋体" w:cs="宋体"/>
      <w:sz w:val="27"/>
      <w:szCs w:val="27"/>
      <w:lang w:val="en-US" w:eastAsia="en-US" w:bidi="ar-SA"/>
    </w:rPr>
  </w:style>
  <w:style w:type="paragraph" w:customStyle="1" w:styleId="52">
    <w:name w:val="Heading #2|1"/>
    <w:basedOn w:val="1"/>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 w:type="paragraph" w:customStyle="1" w:styleId="53">
    <w:name w:val="aa题目"/>
    <w:basedOn w:val="1"/>
    <w:qFormat/>
    <w:uiPriority w:val="0"/>
    <w:pPr>
      <w:ind w:firstLine="0" w:firstLineChars="0"/>
      <w:jc w:val="center"/>
    </w:pPr>
    <w:rPr>
      <w:rFonts w:eastAsia="方正小标宋简体" w:cs="Times New Roman"/>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27</Pages>
  <Words>6583</Words>
  <Characters>6785</Characters>
  <Lines>82</Lines>
  <Paragraphs>23</Paragraphs>
  <TotalTime>6</TotalTime>
  <ScaleCrop>false</ScaleCrop>
  <LinksUpToDate>false</LinksUpToDate>
  <CharactersWithSpaces>6966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白真安</cp:lastModifiedBy>
  <cp:lastPrinted>2025-06-05T07:04:00Z</cp:lastPrinted>
  <dcterms:modified xsi:type="dcterms:W3CDTF">2025-06-05T07:30:01Z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B4612D758BF14588A8BF0CAAF0BFFF9A_13</vt:lpwstr>
  </property>
  <property fmtid="{D5CDD505-2E9C-101B-9397-08002B2CF9AE}" pid="4" name="KSOTemplateDocerSaveRecord">
    <vt:lpwstr>eyJoZGlkIjoiNmJlOGQxNzJhMDgzYmZlZjFkNjJiMmFkZDRmNzk4OTIiLCJ1c2VySWQiOiI0ODE0MTE5MTcifQ==</vt:lpwstr>
  </property>
</Properties>
</file>